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Gerar relatório a partir desta comparação.</w:t>
      </w:r>
    </w:p>
    <w:p>
      <w:pPr>
        <w:pStyle w:val="Heading2"/>
      </w:pPr>
      <w:r>
        <w:t>Resumo executivo</w:t>
      </w:r>
    </w:p>
    <w:p>
      <w:pPr>
        <w:spacing w:after="80"/>
      </w:pPr>
      <w:r>
        <w:t>Ambas as propostas incidem sobre o mesmo objeto técnico (construção/remodelação da ETAR do Este e emissário de 3,74 km em Braga) e adotam tecnologias de tratamento equivalentes (lamas ativadas em vala de oxidação com remoção de nutrientes, digestão anaeróbia e desinfeção UV). A proposta da AmbiFlux apresenta um posicionamento de menor custo inicial (29 900 000 € vs. 35 850 000 €) e menor prazo (27 vs. 30 meses), baseando-se em equipamentos de catálogo e menor instrumentação avançada. A proposta da EcoAqua adota uma abordagem mais robusta e conservadora, com redundâncias N+1, metas de descarga abaixo dos VLE, 12 meses de apoio operacional (contra 6 meses da AmbiFlux) e maior inclusão de contingências financeiras e ambientais.</w:t>
      </w:r>
    </w:p>
    <w:p>
      <w:pPr>
        <w:pStyle w:val="Heading2"/>
      </w:pPr>
      <w:r>
        <w:t>Recomendação</w:t>
      </w:r>
    </w:p>
    <w:p>
      <w:pPr>
        <w:spacing w:after="80"/>
      </w:pPr>
      <w:r>
        <w:t>Sem critérios formais de ponderação preço/qualidade fornecidos pelo Dono de Obra, não se estabelece uma seriação vinculativa. Recomenda-se: (i) se o critério determinante for a minimização de CAPEX e prazo, a proposta da AmbiFlux é a mais vantajosa economicamente, devendo clarificar-se o risco de custos adicionais em obra; (ii) se o objetivo for maximizar a fiabilidade operacional e a conformidade ambiental com menor risco de desvios futuros, a proposta da EcoAqua apresenta maior robustez técnica e garantias pós-arranque alargadas.</w:t>
      </w:r>
    </w:p>
    <w:p>
      <w:pPr>
        <w:pStyle w:val="Heading2"/>
      </w:pPr>
      <w:r>
        <w:t>Resumo comparativo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32"/>
        <w:gridCol w:w="1632"/>
        <w:gridCol w:w="1632"/>
        <w:gridCol w:w="1632"/>
        <w:gridCol w:w="1632"/>
        <w:gridCol w:w="1632"/>
      </w:tblGrid>
      <w:tr>
        <w:tc>
          <w:tcPr>
            <w:tcW w:type="dxa" w:w="1632"/>
          </w:tcPr>
          <w:p>
            <w:r>
              <w:rPr>
                <w:b/>
              </w:rPr>
              <w:t>Empresa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Prazo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Condicoes Comerciais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Documento</w:t>
            </w:r>
          </w:p>
        </w:tc>
        <w:tc>
          <w:tcPr>
            <w:tcW w:type="dxa" w:w="1632"/>
          </w:tcPr>
          <w:p>
            <w:r>
              <w:rPr>
                <w:b/>
              </w:rPr>
              <w:t>Pressupostos E Exclusoes</w:t>
            </w:r>
          </w:p>
        </w:tc>
        <w:tc>
          <w:tcPr>
            <w:tcW w:type="dxa" w:w="1632"/>
          </w:tcPr>
          <w:p>
            <w:r>
              <w:rPr>
                <w:b/>
              </w:rPr>
              <w:t>Resumo Tecnico</w:t>
            </w:r>
          </w:p>
        </w:tc>
      </w:tr>
      <w:tr>
        <w:tc>
          <w:tcPr>
            <w:tcW w:type="dxa" w:w="1632"/>
          </w:tcPr>
          <w:p>
            <w:r>
              <w:t>EcoAqua Engenharia Integrada, Lda.</w:t>
            </w:r>
          </w:p>
        </w:tc>
        <w:tc>
          <w:tcPr>
            <w:tcW w:type="dxa" w:w="1632"/>
          </w:tcPr>
          <w:p>
            <w:r>
              <w:t>30 meses até à receção provisória (M30), seguido de 12 meses de apoio à otimização e exploração inicial.</w:t>
            </w:r>
          </w:p>
        </w:tc>
        <w:tc>
          <w:tcPr>
            <w:tcW w:type="dxa" w:w="1632"/>
          </w:tcPr>
          <w:p>
            <w:r>
              <w:t>Preço global indicativo de 35 850 000 € + IVA (indicado 35 800 000 € no texto de condições); pagamentos: 10% adiantamento, 10% engenharia, 55% autos mensais, 10% conclusão mecânica, 10% testes de desempenho, 5% receção provisória; garantia de boa execução de 10%; retenção de 5%; penalidade de 0,05%/dia (máx. 7,5%); garantia de 24 meses e assistência operacional de 12 meses; validade de 90 dias.</w:t>
            </w:r>
          </w:p>
        </w:tc>
        <w:tc>
          <w:tcPr>
            <w:tcW w:type="dxa" w:w="1632"/>
          </w:tcPr>
          <w:p>
            <w:r>
              <w:t>EA-ETAR-ESTE-2026-017-FIC (25/08/2026)</w:t>
            </w:r>
          </w:p>
        </w:tc>
        <w:tc>
          <w:tcPr>
            <w:tcW w:type="dxa" w:w="1632"/>
          </w:tcPr>
          <w:p>
            <w:r>
              <w:t>Pressupõe envelope afluente dentro da base de projeto e dados de solo/serviços existentes suficientes. Exclui aquisição/expropriação de terrenos, taxas de licenciamento oficiais, reforços estruturais em redes municipais externas, remediação extensiva de solos contaminados, rede de distribuição externa de ApR e operação integral pós-12 meses.</w:t>
            </w:r>
          </w:p>
        </w:tc>
        <w:tc>
          <w:tcPr>
            <w:tcW w:type="dxa" w:w="1632"/>
          </w:tcPr>
          <w:p>
            <w:r>
              <w:t>Solução integrada de engenharia, construção, fornecimento eletromecânico, automação e comissionamento para a ETAR do Este e emissário (~3,74 km). Inclui linha líquida com pré-tratamento, decantação primária lamelar, lamas ativadas em vala de oxidação, remoção biológica de N/P com metas internas abaixo dos VLE, decantação secundária, desinfeção UV, linha de lamas com digestão anaeróbia, biogás, cogeração e desodorização, com redundância N+1 em equipamentos rotativos.</w:t>
            </w:r>
          </w:p>
        </w:tc>
      </w:tr>
      <w:tr>
        <w:tc>
          <w:tcPr>
            <w:tcW w:type="dxa" w:w="1632"/>
          </w:tcPr>
          <w:p>
            <w:r>
              <w:t>AmbiFlux Sistemas de Água, S.A.</w:t>
            </w:r>
          </w:p>
        </w:tc>
        <w:tc>
          <w:tcPr>
            <w:tcW w:type="dxa" w:w="1632"/>
          </w:tcPr>
          <w:p>
            <w:r>
              <w:t>27 meses até à receção provisória (M27), seguido de 6 meses de assistência e afinação pós-arranque.</w:t>
            </w:r>
          </w:p>
        </w:tc>
        <w:tc>
          <w:tcPr>
            <w:tcW w:type="dxa" w:w="1632"/>
          </w:tcPr>
          <w:p>
            <w:r>
              <w:t>Preço global indicativo de 29 900 000 € + IVA; pagamentos: 15% adiantamento, 10% engenharia, 55% autos mensais, 15% conclusão mecânica, 5% receção provisória; garantia de boa execução de 10%; retenção de 5%; penalidade de atraso de 0,03%/dia (máx. 5%); garantia de 24 meses e assistência operacional de 6 meses; validade de 60 dias.</w:t>
            </w:r>
          </w:p>
        </w:tc>
        <w:tc>
          <w:tcPr>
            <w:tcW w:type="dxa" w:w="1632"/>
          </w:tcPr>
          <w:p>
            <w:r>
              <w:t>AF-ESTE-26-084-FIC (25/08/2026)</w:t>
            </w:r>
          </w:p>
        </w:tc>
        <w:tc>
          <w:tcPr>
            <w:tcW w:type="dxa" w:w="1632"/>
          </w:tcPr>
          <w:p>
            <w:r>
              <w:t>Pressupõe exatidão dos cadastros e dados geotécnicos fornecidos e estabilidade do influente. Exclui terrenos/expropriações, taxas de licenciamento, desvios extensivos de serviços não cadastrados, remediação de solos contaminados, bombagem prolongada e infraestrutura externa de ApR.</w:t>
            </w:r>
          </w:p>
        </w:tc>
        <w:tc>
          <w:tcPr>
            <w:tcW w:type="dxa" w:w="1632"/>
          </w:tcPr>
          <w:p>
            <w:r>
              <w:t>Empreitada integrada de engenharia de detalhe, construção, fornecimento eletromecânico, automação e comissionamento para a ETAR do Este e emissário (~3,74 km). Foco em equipamentos de catálogo padronizados e execução em frentes paralelas, incluindo pré-tratamento, decantação primária lamelar, lamas ativadas em vala de oxidação, remoção N/P dimensionada até aos VLE, decantação secundária, UV, linha de lamas com digestão/biogás, cogeração e desodorização.</w:t>
            </w:r>
          </w:p>
        </w:tc>
      </w:tr>
    </w:tbl>
    <w:p>
      <w:pPr>
        <w:pStyle w:val="Heading2"/>
      </w:pPr>
      <w:r>
        <w:t>Detalhe por proposta</w:t>
      </w:r>
    </w:p>
    <w:p>
      <w:pPr>
        <w:pStyle w:val="Heading2"/>
      </w:pPr>
      <w:r>
        <w:t>EcoAqua Engenharia Integrada, Lda.</w:t>
      </w:r>
    </w:p>
    <w:p>
      <w:r>
        <w:rPr>
          <w:b/>
        </w:rPr>
        <w:t>Pontos fortes:</w:t>
      </w:r>
    </w:p>
    <w:p>
      <w:pPr>
        <w:pStyle w:val="ListBullet"/>
        <w:spacing w:after="40"/>
      </w:pPr>
      <w:r>
        <w:t>Critérios de dimensionamento e metas de processo mais conservadores (abaixo dos VLE)</w:t>
      </w:r>
    </w:p>
    <w:p>
      <w:pPr>
        <w:pStyle w:val="ListBullet"/>
        <w:spacing w:after="40"/>
      </w:pPr>
      <w:r>
        <w:t>Redundância N+1 nos principais equipamentos rotativos</w:t>
      </w:r>
    </w:p>
    <w:p>
      <w:pPr>
        <w:pStyle w:val="ListBullet"/>
        <w:spacing w:after="40"/>
      </w:pPr>
      <w:r>
        <w:t>Período de assistência pós-arranque mais extenso (12 meses)</w:t>
      </w:r>
    </w:p>
    <w:p>
      <w:pPr>
        <w:pStyle w:val="ListBullet"/>
        <w:spacing w:after="40"/>
      </w:pPr>
      <w:r>
        <w:t>Maior cobertura de provisões de risco e monitorização ambiental abrangente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CAPEX significativamente mais elevado face à proposta concorrente</w:t>
      </w:r>
    </w:p>
    <w:p>
      <w:pPr>
        <w:pStyle w:val="ListBullet"/>
        <w:spacing w:after="40"/>
      </w:pPr>
      <w:r>
        <w:t>Prazo de execução mais longo (30 meses)</w:t>
      </w:r>
    </w:p>
    <w:p>
      <w:pPr>
        <w:pStyle w:val="ListBullet"/>
        <w:spacing w:after="40"/>
      </w:pPr>
      <w:r>
        <w:t>Penalidades diárias de atraso mais gravosas (0,05%/dia)</w:t>
      </w:r>
    </w:p>
    <w:p>
      <w:pPr>
        <w:pStyle w:val="Heading2"/>
      </w:pPr>
      <w:r>
        <w:t>AmbiFlux Sistemas de Água, S.A.</w:t>
      </w:r>
    </w:p>
    <w:p>
      <w:r>
        <w:rPr>
          <w:b/>
        </w:rPr>
        <w:t>Pontos fortes:</w:t>
      </w:r>
    </w:p>
    <w:p>
      <w:pPr>
        <w:pStyle w:val="ListBullet"/>
        <w:spacing w:after="40"/>
      </w:pPr>
      <w:r>
        <w:t>Preço global significativamente mais baixo (diferencial de ~5,9 M€)</w:t>
      </w:r>
    </w:p>
    <w:p>
      <w:pPr>
        <w:pStyle w:val="ListBullet"/>
        <w:spacing w:after="40"/>
      </w:pPr>
      <w:r>
        <w:t>Prazo de conclusão mais rápido (27 meses até à receção provisória)</w:t>
      </w:r>
    </w:p>
    <w:p>
      <w:pPr>
        <w:pStyle w:val="ListBullet"/>
        <w:spacing w:after="40"/>
      </w:pPr>
      <w:r>
        <w:t>Estrutura padronizada de equipamentos que facilita fornecimentos e prazos</w:t>
      </w:r>
    </w:p>
    <w:p>
      <w:r>
        <w:rPr>
          <w:b/>
        </w:rPr>
        <w:t>Riscos:</w:t>
      </w:r>
    </w:p>
    <w:p>
      <w:pPr>
        <w:pStyle w:val="ListBullet"/>
        <w:spacing w:after="40"/>
      </w:pPr>
      <w:r>
        <w:t>Menor margem de segurança operacional face a picos de carga ou variações de afluente</w:t>
      </w:r>
    </w:p>
    <w:p>
      <w:pPr>
        <w:pStyle w:val="ListBullet"/>
        <w:spacing w:after="40"/>
      </w:pPr>
      <w:r>
        <w:t>Menor período de assistência e acompanhamento pós-arranque (6 meses)</w:t>
      </w:r>
    </w:p>
    <w:p>
      <w:pPr>
        <w:pStyle w:val="ListBullet"/>
        <w:spacing w:after="40"/>
      </w:pPr>
      <w:r>
        <w:t>Maior probabilidade de pedidos de trabalhos adicionais perante imprevistos geotécnicos ou cadastrais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Composição nominal, certificados e experiência da equipa técnica em ambas as propostas</w:t>
      </w:r>
    </w:p>
    <w:p>
      <w:pPr>
        <w:pStyle w:val="ListBullet"/>
        <w:spacing w:after="40"/>
      </w:pPr>
      <w:r>
        <w:t>Esclarecimento da divergência numérica no preço global da EcoAqua (35 850 000 € vs. 35 800 000 €)</w:t>
      </w:r>
    </w:p>
    <w:p>
      <w:pPr>
        <w:pStyle w:val="ListBullet"/>
        <w:spacing w:after="40"/>
      </w:pPr>
      <w:r>
        <w:t>Ponderação e critérios formais de avaliação do procedimento para determinação da proposta vencedora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