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Gerar proposta comercial em documento.</w:t>
      </w:r>
    </w:p>
    <w:p>
      <w:pPr>
        <w:spacing w:after="240"/>
        <w:jc w:val="center"/>
      </w:pPr>
      <w:r>
        <w:t>Cliente: AGERE</w:t>
      </w:r>
    </w:p>
    <w:p>
      <w:pPr>
        <w:pStyle w:val="Heading2"/>
      </w:pPr>
      <w:r>
        <w:t>Resumo executivo</w:t>
      </w:r>
    </w:p>
    <w:p>
      <w:pPr>
        <w:spacing w:after="80"/>
      </w:pPr>
      <w:r>
        <w:t>A presente proposta visa a prestação de serviços de consultoria ambiental para a elaboração do Resumo Não Técnico (RNT) integrado no processo de Avaliação de Impacte Ambiental (AIA) da ETAR Este da AGERE. O objetivo é assegurar uma peça de comunicação clara, rigorosa e acessível para a fase de Consulta Pública, cumprindo os critérios normativos e metodológicos nacionais para infraestruturas de tratamento de águas residuais.</w:t>
      </w:r>
    </w:p>
    <w:p>
      <w:pPr>
        <w:pStyle w:val="Heading2"/>
      </w:pPr>
      <w:r>
        <w:t>Contexto do cliente</w:t>
      </w:r>
    </w:p>
    <w:p>
      <w:pPr>
        <w:spacing w:after="80"/>
      </w:pPr>
      <w:r>
        <w:t>A AGERE promove o projeto da ETAR Este, infraestrutura sujeita ao procedimento de Avaliação de Impacte Ambiental. Como elemento obrigatório e nuclear para a participação pública, o Resumo Não Técnico deve sintetizar de forma autónoma, acessível e objetiva as conclusões do Estudo de Impacte Ambiental (EIA), assegurando que entidades e cidadãos compreendam as soluções técnicas, impactes ambientais e medidas de minimização e monitorização associadas.</w:t>
      </w:r>
    </w:p>
    <w:p>
      <w:pPr>
        <w:pStyle w:val="Heading2"/>
      </w:pPr>
      <w:r>
        <w:t>Objetivos</w:t>
      </w:r>
    </w:p>
    <w:p>
      <w:pPr>
        <w:pStyle w:val="ListBullet"/>
        <w:spacing w:after="40"/>
      </w:pPr>
      <w:r>
        <w:t>Elaborar o Resumo Não Técnico (RNT) do Estudo de Impacte Ambiental da ETAR Este em conformidade com as diretrizes da APA.</w:t>
      </w:r>
    </w:p>
    <w:p>
      <w:pPr>
        <w:pStyle w:val="ListBullet"/>
        <w:spacing w:after="40"/>
      </w:pPr>
      <w:r>
        <w:t>Traduzir de forma clara e acessível a informação técnica e ambiental complexa para apoio à Consulta Pública.</w:t>
      </w:r>
    </w:p>
    <w:p>
      <w:pPr>
        <w:pStyle w:val="ListBullet"/>
        <w:spacing w:after="40"/>
      </w:pPr>
      <w:r>
        <w:t>Sistematizar a identificação de impactes potenciais e residuais, bem como os programas de medidas de minimização e planos de monitorização (qualidade da água, ruído, ar/odores e socioeconomia).</w:t>
      </w:r>
    </w:p>
    <w:p>
      <w:pPr>
        <w:pStyle w:val="ListBullet"/>
        <w:spacing w:after="40"/>
      </w:pPr>
      <w:r>
        <w:t>Garantir a total coerência técnica entre o EIA principal e o documento de síntese não técnica.</w:t>
      </w:r>
    </w:p>
    <w:p>
      <w:pPr>
        <w:pStyle w:val="Heading2"/>
      </w:pPr>
      <w:r>
        <w:t>Solução proposta</w:t>
      </w:r>
    </w:p>
    <w:p>
      <w:pPr>
        <w:spacing w:after="80"/>
      </w:pPr>
      <w:r>
        <w:t>Desenvolvimento de um documento de Resumo Não Técnico estruturado e apelativo, focado na clareza visual e textual, integrando infografia e cartografia síntese. A abordagem assegura a transposição fiel das conclusões do EIA sem jargão excessivo, facilitando a consulta por não especialistas e garantindo estrita conformidade com os critérios de conformidade da Autoridade de AIA.</w:t>
      </w:r>
    </w:p>
    <w:p>
      <w:pPr>
        <w:pStyle w:val="Heading2"/>
      </w:pPr>
      <w:r>
        <w:t>Âmbito</w:t>
      </w:r>
    </w:p>
    <w:p>
      <w:pPr>
        <w:pStyle w:val="ListBullet"/>
        <w:spacing w:after="40"/>
      </w:pPr>
      <w:r>
        <w:t>Análise e triagem técnica do Estudo de Impacte Ambiental (EIA) e peças desenhadas da ETAR Este.</w:t>
      </w:r>
    </w:p>
    <w:p>
      <w:pPr>
        <w:pStyle w:val="ListBullet"/>
        <w:spacing w:after="40"/>
      </w:pPr>
      <w:r>
        <w:t>Redação integral do texto do RNT, cobrindo antecedentes, justificação, alternativas estudadas, descrição do projeto e áreas de influência.</w:t>
      </w:r>
    </w:p>
    <w:p>
      <w:pPr>
        <w:pStyle w:val="ListBullet"/>
        <w:spacing w:after="40"/>
      </w:pPr>
      <w:r>
        <w:t>Síntese integrada da caracterização da situação de referência, impactes ambientais identificados e medidas de mitigação/compensação.</w:t>
      </w:r>
    </w:p>
    <w:p>
      <w:pPr>
        <w:pStyle w:val="ListBullet"/>
        <w:spacing w:after="40"/>
      </w:pPr>
      <w:r>
        <w:t>Resumo dos programas de monitorização ambiental propostos para as fases de construção e exploração.</w:t>
      </w:r>
    </w:p>
    <w:p>
      <w:pPr>
        <w:pStyle w:val="ListBullet"/>
        <w:spacing w:after="40"/>
      </w:pPr>
      <w:r>
        <w:t>Preparação de elementos gráficos simplificados, mapas de enquadramento e esquemas ilustrativos do processo de tratamento e implantação.</w:t>
      </w:r>
    </w:p>
    <w:p>
      <w:pPr>
        <w:pStyle w:val="ListBullet"/>
        <w:spacing w:after="40"/>
      </w:pPr>
      <w:r>
        <w:t>Revisão técnica, harmonização editorial e integração de eventuais contributos da equipa promotora.</w:t>
      </w:r>
    </w:p>
    <w:p>
      <w:pPr>
        <w:pStyle w:val="Heading2"/>
      </w:pPr>
      <w:r>
        <w:t>Entregáveis</w:t>
      </w:r>
    </w:p>
    <w:p>
      <w:pPr>
        <w:pStyle w:val="ListBullet"/>
        <w:spacing w:after="40"/>
      </w:pPr>
      <w:r>
        <w:t>Resumo Não Técnico (RNT) em versão provisória (draft) para validação pela AGERE.</w:t>
      </w:r>
    </w:p>
    <w:p>
      <w:pPr>
        <w:pStyle w:val="ListBullet"/>
        <w:spacing w:after="40"/>
      </w:pPr>
      <w:r>
        <w:t>Resumo Não Técnico (RNT) final em formato digital editável e PDF de alta resolução, pronto para submissão à Autoridade de AIA.</w:t>
      </w:r>
    </w:p>
    <w:p>
      <w:pPr>
        <w:pStyle w:val="Heading2"/>
      </w:pPr>
      <w:r>
        <w:t>Metodologia</w:t>
      </w:r>
    </w:p>
    <w:p>
      <w:pPr>
        <w:spacing w:after="80"/>
      </w:pPr>
      <w:r>
        <w:t>A metodologia baseia-se nas orientações dos 'Critérios de Avaliação de Resumos Não Técnicos' (APA) e no 'Guia de Boas Práticas para EIA de ETAR'. O processo estrutura-se em: (i) Análise documental do EIA; (ii) Seleção e estruturação da informação crítica; (iii) Redação em linguagem clara, concisa e não técnica; (iv) Produção de cartografia e diagramas simplificados; (v) Validação interna de conformidade de critérios de qualidade da APA.</w:t>
      </w:r>
    </w:p>
    <w:p>
      <w:pPr>
        <w:pStyle w:val="Heading2"/>
      </w:pPr>
      <w:r>
        <w:t>Calendário</w:t>
      </w:r>
    </w:p>
    <w:p>
      <w:pPr>
        <w:spacing w:after="80"/>
      </w:pPr>
      <w:r>
        <w:t>O cronograma detalhado de execução e entrega das versões provisória e final será acordado com a AGERE mediante validação da data de conclusão do EIA principal e do calendário pretendido para submissão do processo de AIA.</w:t>
      </w:r>
    </w:p>
    <w:p>
      <w:pPr>
        <w:pStyle w:val="Heading2"/>
      </w:pPr>
      <w:r>
        <w:t>Investimento</w:t>
      </w:r>
    </w:p>
    <w:p>
      <w:pPr>
        <w:spacing w:after="80"/>
      </w:pPr>
      <w:r>
        <w:t>O valor global do investimento será apresentado mediante definição do nível de detalhe do projeto de execução/estudo prévio da ETAR Este e validação do cronograma de trabalho com a AGERE.</w:t>
      </w:r>
    </w:p>
    <w:p>
      <w:pPr>
        <w:pStyle w:val="Heading2"/>
      </w:pPr>
      <w:r>
        <w:t>Pressupostos</w:t>
      </w:r>
    </w:p>
    <w:p>
      <w:pPr>
        <w:pStyle w:val="ListBullet"/>
        <w:spacing w:after="40"/>
      </w:pPr>
      <w:r>
        <w:t>A AGERE disponibilizará a versão completa e consolidada do Estudo de Impacte Ambiental (EIA) e respetivas peças desenhadas.</w:t>
      </w:r>
    </w:p>
    <w:p>
      <w:pPr>
        <w:pStyle w:val="ListBullet"/>
        <w:spacing w:after="40"/>
      </w:pPr>
      <w:r>
        <w:t>As peças cartográficas de base e elementos de projeto de engenharia da ETAR Este serão fornecidos em formatos digitais abertos (DWG/GIS/PDF).</w:t>
      </w:r>
    </w:p>
    <w:p>
      <w:pPr>
        <w:pStyle w:val="ListBullet"/>
        <w:spacing w:after="40"/>
      </w:pPr>
      <w:r>
        <w:t>A validação das versões intermédias será efetuada pela equipa técnica da AGERE dentro dos prazos operacionais a acordar.</w:t>
      </w:r>
    </w:p>
    <w:p>
      <w:pPr>
        <w:pStyle w:val="Heading2"/>
      </w:pPr>
      <w:r>
        <w:t>Exclusões</w:t>
      </w:r>
    </w:p>
    <w:p>
      <w:pPr>
        <w:pStyle w:val="ListBullet"/>
        <w:spacing w:after="40"/>
      </w:pPr>
      <w:r>
        <w:t>Execução de novos estudos de campo, amostragens laboratoriais ou modelações não contempladas no EIA de base.</w:t>
      </w:r>
    </w:p>
    <w:p>
      <w:pPr>
        <w:pStyle w:val="ListBullet"/>
        <w:spacing w:after="40"/>
      </w:pPr>
      <w:r>
        <w:t>Acompanhamento presencial ou representação em sessões públicas durante o período de Consulta Pública (salvo se contratado como serviço adicional).</w:t>
      </w:r>
    </w:p>
    <w:p>
      <w:pPr>
        <w:pStyle w:val="ListBullet"/>
        <w:spacing w:after="40"/>
      </w:pPr>
      <w:r>
        <w:t>Pagamento de taxas administrativas ou emolumentos devidos a entidades oficiais e à Autoridade de AIA.</w:t>
      </w:r>
    </w:p>
    <w:p>
      <w:pPr>
        <w:pStyle w:val="Heading2"/>
      </w:pPr>
      <w:r>
        <w:t>Riscos</w:t>
      </w:r>
    </w:p>
    <w:p>
      <w:pPr>
        <w:pStyle w:val="ListBullet"/>
        <w:spacing w:after="40"/>
      </w:pPr>
      <w:r>
        <w:t>Atrasos na disponibilização da versão final do EIA que possam condicionar a data de fecho do RNT.</w:t>
      </w:r>
    </w:p>
    <w:p>
      <w:pPr>
        <w:pStyle w:val="ListBullet"/>
        <w:spacing w:after="40"/>
      </w:pPr>
      <w:r>
        <w:t>Alterações significativas ao projeto de engenharia da ETAR durante o processo de redação do RNT.</w:t>
      </w:r>
    </w:p>
    <w:p>
      <w:pPr>
        <w:pStyle w:val="ListBullet"/>
        <w:spacing w:after="40"/>
      </w:pPr>
      <w:r>
        <w:t>Extensão excessiva de pormenorização técnica decorrente do EIA que comprometa a concisão recomendada para o RNT.</w:t>
      </w:r>
    </w:p>
    <w:p>
      <w:pPr>
        <w:pStyle w:val="Heading2"/>
      </w:pPr>
      <w:r>
        <w:t>Referências usadas</w:t>
      </w:r>
    </w:p>
    <w:p>
      <w:pPr>
        <w:pStyle w:val="ListBullet"/>
        <w:spacing w:after="40"/>
      </w:pPr>
      <w:r>
        <w:t>Critérios de Avaliação de Resumos Não Técnicos (APA / DPP).</w:t>
      </w:r>
    </w:p>
    <w:p>
      <w:pPr>
        <w:pStyle w:val="ListBullet"/>
        <w:spacing w:after="40"/>
      </w:pPr>
      <w:r>
        <w:t>Guia de Boas Práticas para a Avaliação de Impacte Ambiental de Estações de Tratamento de Águas Residuais (ETAR).</w:t>
      </w:r>
    </w:p>
    <w:p>
      <w:pPr>
        <w:pStyle w:val="ListBullet"/>
        <w:spacing w:after="40"/>
      </w:pPr>
      <w:r>
        <w:t>Enquadramento normativo do regime jurídico de Avaliação de Impacte Ambiental em Portugal.</w:t>
      </w:r>
    </w:p>
    <w:p>
      <w:pPr>
        <w:pStyle w:val="Heading2"/>
      </w:pPr>
      <w:r>
        <w:t>Informação em falta</w:t>
      </w:r>
    </w:p>
    <w:p>
      <w:pPr>
        <w:pStyle w:val="ListBullet"/>
        <w:spacing w:after="40"/>
      </w:pPr>
      <w:r>
        <w:t>Disponibilização do relatório preliminar ou final do EIA da ETAR Este para dimensionamento exato do volume de informação.</w:t>
      </w:r>
    </w:p>
    <w:p>
      <w:pPr>
        <w:pStyle w:val="ListBullet"/>
        <w:spacing w:after="40"/>
      </w:pPr>
      <w:r>
        <w:t>Definição do prazo-alvo para submissão formal do processo de AIA pela AGERE.</w:t>
      </w:r>
    </w:p>
    <w:p>
      <w:pPr>
        <w:pStyle w:val="ListBullet"/>
        <w:spacing w:after="40"/>
      </w:pPr>
      <w:r>
        <w:t>Condições comerciais específicas e modelo de pagamento pretendido pela AGERE.</w:t>
      </w:r>
    </w:p>
    <w:p>
      <w:pPr>
        <w:pStyle w:val="Heading2"/>
      </w:pPr>
      <w:r>
        <w:t>Próximos passos</w:t>
      </w:r>
    </w:p>
    <w:p>
      <w:pPr>
        <w:pStyle w:val="ListBullet"/>
        <w:spacing w:after="40"/>
      </w:pPr>
      <w:r>
        <w:t>Validação da presente proposta técnica pela AGERE.</w:t>
      </w:r>
    </w:p>
    <w:p>
      <w:pPr>
        <w:pStyle w:val="ListBullet"/>
        <w:spacing w:after="40"/>
      </w:pPr>
      <w:r>
        <w:t>Reunião de alinhamento para definição do calendário de entregas e fecho das condições financeiras.</w:t>
      </w:r>
    </w:p>
    <w:p>
      <w:pPr>
        <w:pStyle w:val="ListBullet"/>
        <w:spacing w:after="40"/>
      </w:pPr>
      <w:r>
        <w:t>Disponibilização da documentação técnica de suporte do EIA e arranque dos trabalhos de redação do RNT.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