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Gerar relatório a partir desta comparação.</w:t>
      </w:r>
    </w:p>
    <w:p>
      <w:pPr>
        <w:pStyle w:val="Heading2"/>
      </w:pPr>
      <w:r>
        <w:t>Resumo executivo</w:t>
      </w:r>
    </w:p>
    <w:p>
      <w:pPr>
        <w:spacing w:after="80"/>
      </w:pPr>
      <w:r>
        <w:t>As duas propostas apresentadas para a empreitada de conceção-construção da ETAR do Este e respetivo emissário de 3,74 km partem do mesmo envelope de dimensionamento do EIA/Projeto de Execução (146 426 h.e., caudal de ponta em tempo húmido de 29 325 m³/d), mas assentam em estratégias técnico-comerciais contrastantes. A AmbiFlux apresenta a oferta mais económica (29 900 000 €; -16,6%) e o calendário mais rápido (27 meses de obra e 6 meses de assistência), fundamentada na padronização de equipamentos e na orçamentação estrita do âmbito base, transferindo para o Dono de Obra o risco de incertezas geotécnicas, interferências subterrâneas e campanhas ambientais complementares. Em contrapartida, a EcoAqua propõe uma solução substancialmente mais robusta a 35 850 000 € e 30 meses de obra, internalizando margens operacionais mais conservadoras (metas internas abaixo dos VLE legais), redundâncias N+1 alargadas, campanha geotécnica adicional, análise HAZOP, planos de monitorização ambiental reforçados, uma provisão de risco de 1,1 M€ e 12 meses de apoio operacional pós-arranque.</w:t>
      </w:r>
    </w:p>
    <w:p>
      <w:pPr>
        <w:pStyle w:val="Heading2"/>
      </w:pPr>
      <w:r>
        <w:t>Recomendação</w:t>
      </w:r>
    </w:p>
    <w:p>
      <w:pPr>
        <w:spacing w:after="80"/>
      </w:pPr>
      <w:r>
        <w:t>A recomendação de adjudicação depende das prioridades estratégicas e da tolerância ao risco da AGERE:</w:t>
      </w:r>
    </w:p>
    <w:p>
      <w:pPr>
        <w:spacing w:after="80"/>
      </w:pPr>
      <w:r>
        <w:t>1. Recomenda-se a adjudicação à AMBIFLUX se a AGERE tiver como imperativo inegociável a minimização do CAPEX inicial (poupança direta de 5,95 M€) e a urgência na entrada em serviço (ganho de 3 meses), desde que disponha de uma estrutura de fiscalização técnica e gestão contratual robusta para controlar rigorosamente os pedidos de trabalhos a mais decorrentes de serviços enterrados e geotecnia.</w:t>
      </w:r>
    </w:p>
    <w:p>
      <w:pPr>
        <w:spacing w:after="80"/>
      </w:pPr>
      <w:r>
        <w:t>2. Recomenda-se a adjudicação à ECOAQUA se o objetivo principal for a previsibilidade orçamental final, a proteção ambiental do meio recetor (rio Este) e a durabilidade operacional. A proposta da EcoAqua oferece maior segurança contra surpresas de execução (contingências e geotecnia internalizadas), níveis de redundância e instrumentação superiores para cumprimento dos VLE de descarga e o dobro do tempo de assistência especializada no arranque (12 meses).</w:t>
      </w:r>
    </w:p>
    <w:p>
      <w:pPr>
        <w:pStyle w:val="Heading2"/>
      </w:pPr>
      <w:r>
        <w:t>Resumo comparativo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632"/>
          </w:tcPr>
          <w:p>
            <w:r>
              <w:rPr>
                <w:b/>
              </w:rPr>
              <w:t>Empresa</w:t>
            </w:r>
          </w:p>
        </w:tc>
        <w:tc>
          <w:tcPr>
            <w:tcW w:type="dxa" w:w="1632"/>
          </w:tcPr>
          <w:p>
            <w:r>
              <w:rPr>
                <w:b/>
              </w:rPr>
              <w:t>Prazo</w:t>
            </w:r>
          </w:p>
        </w:tc>
        <w:tc>
          <w:tcPr>
            <w:tcW w:type="dxa" w:w="1632"/>
          </w:tcPr>
          <w:p>
            <w:r>
              <w:rPr>
                <w:b/>
              </w:rPr>
              <w:t>Condicoes Comerciais</w:t>
            </w:r>
          </w:p>
        </w:tc>
        <w:tc>
          <w:tcPr>
            <w:tcW w:type="dxa" w:w="1632"/>
          </w:tcPr>
          <w:p>
            <w:r>
              <w:rPr>
                <w:b/>
              </w:rPr>
              <w:t>Documento</w:t>
            </w:r>
          </w:p>
        </w:tc>
        <w:tc>
          <w:tcPr>
            <w:tcW w:type="dxa" w:w="1632"/>
          </w:tcPr>
          <w:p>
            <w:r>
              <w:rPr>
                <w:b/>
              </w:rPr>
              <w:t>Pressupostos E Exclusoes</w:t>
            </w:r>
          </w:p>
        </w:tc>
        <w:tc>
          <w:tcPr>
            <w:tcW w:type="dxa" w:w="1632"/>
          </w:tcPr>
          <w:p>
            <w:r>
              <w:rPr>
                <w:b/>
              </w:rPr>
              <w:t>Resumo Tecnico</w:t>
            </w:r>
          </w:p>
        </w:tc>
      </w:tr>
      <w:tr>
        <w:tc>
          <w:tcPr>
            <w:tcW w:type="dxa" w:w="1632"/>
          </w:tcPr>
          <w:p>
            <w:r>
              <w:t>EcoAqua Engenharia Integrada, Lda.</w:t>
            </w:r>
          </w:p>
        </w:tc>
        <w:tc>
          <w:tcPr>
            <w:tcW w:type="dxa" w:w="1632"/>
          </w:tcPr>
          <w:p>
            <w:r>
              <w:t>30 meses até à receção provisória + 12 meses de assistência técnica e otimização operacional pós-arranque. Marcos: fecho da Basis of Design a M2, emissão de engenharia para construção a M6, conclusão do emissário a M23, conclusão mecânica a M25, estabilidade e testes a M29, receção provisória a M30.</w:t>
            </w:r>
          </w:p>
        </w:tc>
        <w:tc>
          <w:tcPr>
            <w:tcW w:type="dxa" w:w="1632"/>
          </w:tcPr>
          <w:p>
            <w:r>
              <w:t>Preço total de 35 850 000 € + IVA (nota: texto menciona indicativamente 35 800 000 €, mas a soma das rubricas totaliza 35 850 000 €), incluindo 1 100 000 € em provisões de risco/contingências. Validade de 90 dias. Pagamentos: 10% adiantamento, 10% aprovação de engenharia, 55% autos mensais, 10% conclusão mecânica, 10% testes de desempenho e 5% receção provisória. Garantia de boa execução de 10% (retenção de 5% substituível por garantia bancária). Penalidade de atraso de 0,05%/dia (teto de 7,5%). Garantia de 24 meses para equipamentos e trabalhos, acrescida de 12 meses de acompanhamento de otimização.</w:t>
            </w:r>
          </w:p>
        </w:tc>
        <w:tc>
          <w:tcPr>
            <w:tcW w:type="dxa" w:w="1632"/>
          </w:tcPr>
          <w:p>
            <w:r>
              <w:t>EA-ETAR-ESTE-2026-017-FIC (25/08/2026)</w:t>
            </w:r>
          </w:p>
        </w:tc>
        <w:tc>
          <w:tcPr>
            <w:tcW w:type="dxa" w:w="1632"/>
          </w:tcPr>
          <w:p>
            <w:r>
              <w:t>Pressupõe disponibilização atempada de terrenos, afluente dentro do envelope de dimensionamento do EIA, ponto elétrico com potência necessária e materiais de escavação sem resíduos perigosos fora do normal. Exclui aquisição de terrenos/expropriações, taxas administrativas legais, reforços em redes municipais fora do limite físico, remediação extensiva de solos contaminados ou paragens por achados arqueológicos, distribuição externa de ApR a utilizadores finais e operação além dos 12 meses.</w:t>
            </w:r>
          </w:p>
        </w:tc>
        <w:tc>
          <w:tcPr>
            <w:tcW w:type="dxa" w:w="1632"/>
          </w:tcPr>
          <w:p>
            <w:r>
              <w:t>Solução integrada e conservadora para a ETAR e emissário (~3,74 km), concebida em regime de contrato de desempenho. Inclui pré-tratamento, decantação primária lamelar, lamas ativadas em vala de oxidação, remoção biológica e físico-química de N e P com metas operacionais internas mais exigentes do que os VLE de descarga, desinfeção UV, preparação de ApR, linha de lamas com digestão anaeróbia, valorização de biogás (cogeração e flare), desodorização reforçada, fotovoltaico e coberturas verdes. Prevê redundância N+1 em equipamentos rotativos críticos, instrumentação analítica online alargada na linha líquida/meio recetor, campanha geotécnica complementar, modelação dinâmica e análise HAZOP.</w:t>
            </w:r>
          </w:p>
        </w:tc>
      </w:tr>
      <w:tr>
        <w:tc>
          <w:tcPr>
            <w:tcW w:type="dxa" w:w="1632"/>
          </w:tcPr>
          <w:p>
            <w:r>
              <w:t>AmbiFlux Sistemas de Água, S.A.</w:t>
            </w:r>
          </w:p>
        </w:tc>
        <w:tc>
          <w:tcPr>
            <w:tcW w:type="dxa" w:w="1632"/>
          </w:tcPr>
          <w:p>
            <w:r>
              <w:t>27 meses até à receção provisória + 6 meses de assistência operacional inicial. Marcos: Basis of Design a M2, emissão de engenharia para construção a M5, emissário concluído a M21, conclusão mecânica a M23, testes de estabilidade a M26, receção provisória a M27.</w:t>
            </w:r>
          </w:p>
        </w:tc>
        <w:tc>
          <w:tcPr>
            <w:tcW w:type="dxa" w:w="1632"/>
          </w:tcPr>
          <w:p>
            <w:r>
              <w:t>Preço total de 29 900 000 € + IVA, integrando provisão de 650 000 € para pequenas interferências. Validade de 60 dias (com possibilidade de revisão de preços para equipamentos importados/metais se a adjudicação demorar ou o mercado variar &gt;5%). Pagamentos: 15% adiantamento, 10% engenharia principal, 55% autos mensais, 15% conclusão mecânica e 5% receção provisória. Garantia de boa execução de 10% (retenção de 5%). Penalidade de atraso de 0,03%/dia (teto de 5%). Garantia de 24 meses para equipamentos principais, acrescida de 6 meses de assistência operacional pós-arranque.</w:t>
            </w:r>
          </w:p>
        </w:tc>
        <w:tc>
          <w:tcPr>
            <w:tcW w:type="dxa" w:w="1632"/>
          </w:tcPr>
          <w:p>
            <w:r>
              <w:t>AF-ESTE-26-084-FIC (25/08/2026)</w:t>
            </w:r>
          </w:p>
        </w:tc>
        <w:tc>
          <w:tcPr>
            <w:tcW w:type="dxa" w:w="1632"/>
          </w:tcPr>
          <w:p>
            <w:r>
              <w:t>Assume como integralmente fidedigna e suficiente a informação geotécnica e de cadastros fornecida, excluindo sondagens adicionais não críticas. Exclui expropriações e taxas oficiais, desvios de serviços não cadastrados que excedam a verba provisória de 650 000 €, dewatering prolongado, solos contaminados, campanhas de monitorização ambiental além do essencial (como estudos olfatométricos ou ecológicos específicos), rede de distribuição externa de ApR e exploração além de 6 meses.</w:t>
            </w:r>
          </w:p>
        </w:tc>
        <w:tc>
          <w:tcPr>
            <w:tcW w:type="dxa" w:w="1632"/>
          </w:tcPr>
          <w:p>
            <w:r>
              <w:t>Solução padronizada e otimizada para redução de CAPEX e rapidez de execução, cobrindo a ETAR e emissário (~3,74 km). Mantém o esquema de processo base: pré-tratamento, decantação primária lamelar, lamas ativadas em vala de oxidação, remoção de nutrientes N e P dimensionada estritamente para os VLE de projeto, desinfeção UV, linha de lamas com digestão e biogás/cogeração, desodorização e fotovoltaico. Recorre preferencialmente a equipamentos de catálogo normalizados, limitando a instrumentação analítica e a modelação avançada aos pontos críticos e tratando investigações de solo/interferências por preços unitários.</w:t>
            </w:r>
          </w:p>
        </w:tc>
      </w:tr>
    </w:tbl>
    <w:p>
      <w:pPr>
        <w:pStyle w:val="Heading2"/>
      </w:pPr>
      <w:r>
        <w:t>Detalhe por proposta</w:t>
      </w:r>
    </w:p>
    <w:p>
      <w:pPr>
        <w:pStyle w:val="Heading2"/>
      </w:pPr>
      <w:r>
        <w:t>EcoAqua Engenharia Integrada, Lda.</w:t>
      </w:r>
    </w:p>
    <w:p>
      <w:r>
        <w:rPr>
          <w:b/>
        </w:rPr>
        <w:t>Pontos fortes:</w:t>
      </w:r>
    </w:p>
    <w:p>
      <w:pPr>
        <w:pStyle w:val="ListBullet"/>
        <w:spacing w:after="40"/>
      </w:pPr>
      <w:r>
        <w:t>Maior robustez técnica e ambiental, com setpoints internos mais restritivos do que os VLE legais para CBO5, CQO, SST, N e P</w:t>
      </w:r>
    </w:p>
    <w:p>
      <w:pPr>
        <w:pStyle w:val="ListBullet"/>
        <w:spacing w:after="40"/>
      </w:pPr>
      <w:r>
        <w:t>Redundância N+1 nos principais equipamentos e instrumentação analítica online contínua com redundância na descarga</w:t>
      </w:r>
    </w:p>
    <w:p>
      <w:pPr>
        <w:pStyle w:val="ListBullet"/>
        <w:spacing w:after="40"/>
      </w:pPr>
      <w:r>
        <w:t>Inclusão de campanha geotécnica complementar, estudos de transientes e análise HAZOP no âmbito base</w:t>
      </w:r>
    </w:p>
    <w:p>
      <w:pPr>
        <w:pStyle w:val="ListBullet"/>
        <w:spacing w:after="40"/>
      </w:pPr>
      <w:r>
        <w:t>Internalização de verba de risco (1 100 000 €) para absorver interferências de redes e condicionantes de solo</w:t>
      </w:r>
    </w:p>
    <w:p>
      <w:pPr>
        <w:pStyle w:val="ListBullet"/>
        <w:spacing w:after="40"/>
      </w:pPr>
      <w:r>
        <w:t>Período de assistência e otimização pós-arranque alargado para 12 meses com 4 relatórios trimestrais</w:t>
      </w:r>
    </w:p>
    <w:p>
      <w:pPr>
        <w:pStyle w:val="ListBullet"/>
        <w:spacing w:after="40"/>
      </w:pPr>
      <w:r>
        <w:t>Prazo de validade comercial superior (90 dias)</w:t>
      </w:r>
    </w:p>
    <w:p>
      <w:r>
        <w:rPr>
          <w:b/>
        </w:rPr>
        <w:t>Riscos:</w:t>
      </w:r>
    </w:p>
    <w:p>
      <w:pPr>
        <w:pStyle w:val="ListBullet"/>
        <w:spacing w:after="40"/>
      </w:pPr>
      <w:r>
        <w:t>Custo de investimento (CAPEX) significativamente superior (+5,95 M€ face à AmbiFlux)</w:t>
      </w:r>
    </w:p>
    <w:p>
      <w:pPr>
        <w:pStyle w:val="ListBullet"/>
        <w:spacing w:after="40"/>
      </w:pPr>
      <w:r>
        <w:t>Prazo de execução até receção provisória mais longo em 3 meses (30 meses)</w:t>
      </w:r>
    </w:p>
    <w:p>
      <w:pPr>
        <w:pStyle w:val="ListBullet"/>
        <w:spacing w:after="40"/>
      </w:pPr>
      <w:r>
        <w:t>Penalidade diária de atraso contratual mais gravosa (0,05%/dia vs 0,03%/dia, teto de 7,5%)</w:t>
      </w:r>
    </w:p>
    <w:p>
      <w:pPr>
        <w:pStyle w:val="ListBullet"/>
        <w:spacing w:after="40"/>
      </w:pPr>
      <w:r>
        <w:t>Verba de contingência não é reserva livre, estando dependente de justificação e regras contratuais</w:t>
      </w:r>
    </w:p>
    <w:p>
      <w:pPr>
        <w:pStyle w:val="Heading2"/>
      </w:pPr>
      <w:r>
        <w:t>AmbiFlux Sistemas de Água, S.A.</w:t>
      </w:r>
    </w:p>
    <w:p>
      <w:r>
        <w:rPr>
          <w:b/>
        </w:rPr>
        <w:t>Pontos fortes:</w:t>
      </w:r>
    </w:p>
    <w:p>
      <w:pPr>
        <w:pStyle w:val="ListBullet"/>
        <w:spacing w:after="40"/>
      </w:pPr>
      <w:r>
        <w:t>Proposta economicamente mais competitiva, com preço global inferior em 5 950 000 € (~17% abaixo da EcoAqua)</w:t>
      </w:r>
    </w:p>
    <w:p>
      <w:pPr>
        <w:pStyle w:val="ListBullet"/>
        <w:spacing w:after="40"/>
      </w:pPr>
      <w:r>
        <w:t>Prazo de conclusão mais célere (27 meses até receção provisória, menos 3 meses)</w:t>
      </w:r>
    </w:p>
    <w:p>
      <w:pPr>
        <w:pStyle w:val="ListBullet"/>
        <w:spacing w:after="40"/>
      </w:pPr>
      <w:r>
        <w:t>Fluxo financeiro com menor retenção final (5% nos testes/receção) e maior adiantamento (15%)</w:t>
      </w:r>
    </w:p>
    <w:p>
      <w:pPr>
        <w:pStyle w:val="ListBullet"/>
        <w:spacing w:after="40"/>
      </w:pPr>
      <w:r>
        <w:t>Regime de penalidades por atraso mais favorável ao concorrente (0,03%/dia com teto de 5%)</w:t>
      </w:r>
    </w:p>
    <w:p>
      <w:pPr>
        <w:pStyle w:val="ListBullet"/>
        <w:spacing w:after="40"/>
      </w:pPr>
      <w:r>
        <w:t>Menor complexidade de operação por utilização predominante de equipamentos e arquiteturas de catálogo standard</w:t>
      </w:r>
    </w:p>
    <w:p>
      <w:r>
        <w:rPr>
          <w:b/>
        </w:rPr>
        <w:t>Riscos:</w:t>
      </w:r>
    </w:p>
    <w:p>
      <w:pPr>
        <w:pStyle w:val="ListBullet"/>
        <w:spacing w:after="40"/>
      </w:pPr>
      <w:r>
        <w:t>Elevado risco de trabalhos a mais e litígios por desvios de serviços subterrâneos e geotecnia (abordagem de exclusão e preços unitários)</w:t>
      </w:r>
    </w:p>
    <w:p>
      <w:pPr>
        <w:pStyle w:val="ListBullet"/>
        <w:spacing w:after="40"/>
      </w:pPr>
      <w:r>
        <w:t>Período de assistência pós-arranque mais curto (6 meses vs 12 meses)</w:t>
      </w:r>
    </w:p>
    <w:p>
      <w:pPr>
        <w:pStyle w:val="ListBullet"/>
        <w:spacing w:after="40"/>
      </w:pPr>
      <w:r>
        <w:t>Instrumentação analítica e controlo menos redundantes, com maior sensibilidade a variações de carga e fósforo</w:t>
      </w:r>
    </w:p>
    <w:p>
      <w:pPr>
        <w:pStyle w:val="ListBullet"/>
        <w:spacing w:after="40"/>
      </w:pPr>
      <w:r>
        <w:t>Monitorização ambiental restrita ao mínimo legal, sem planos olfatométricos ou ecológicos reforçados</w:t>
      </w:r>
    </w:p>
    <w:p>
      <w:pPr>
        <w:pStyle w:val="ListBullet"/>
        <w:spacing w:after="40"/>
      </w:pPr>
      <w:r>
        <w:t>Prazo de validade comercial curto (60 dias) com mecanismo de revisão por volatilidade de mercado</w:t>
      </w:r>
    </w:p>
    <w:p>
      <w:pPr>
        <w:pStyle w:val="Heading2"/>
      </w:pPr>
      <w:r>
        <w:t>Informação em falta</w:t>
      </w:r>
    </w:p>
    <w:p>
      <w:pPr>
        <w:pStyle w:val="ListBullet"/>
        <w:spacing w:after="40"/>
      </w:pPr>
      <w:r>
        <w:t>Confirmação pelo consórcio EcoAqua do valor contratual vinculativo face à disparidade entre o texto (35,80 M€) e o somatório analítico da tabela financeira (35,85 M€)</w:t>
      </w:r>
    </w:p>
    <w:p>
      <w:pPr>
        <w:pStyle w:val="ListBullet"/>
        <w:spacing w:after="40"/>
      </w:pPr>
      <w:r>
        <w:t>Curriculum vitae e composição nominal das equipas técnicas-chave de engenharia e direção de obra em ambas as propostas</w:t>
      </w:r>
    </w:p>
    <w:p>
      <w:pPr>
        <w:pStyle w:val="ListBullet"/>
        <w:spacing w:after="40"/>
      </w:pPr>
      <w:r>
        <w:t>Listagem com identificação de marcas, modelos e fabricantes de referência para os equipamentos eletromecânicos principais de ambas as concorrentes</w:t>
      </w:r>
    </w:p>
    <w:p>
      <w:pPr>
        <w:pStyle w:val="ListBullet"/>
        <w:spacing w:after="40"/>
      </w:pPr>
      <w:r>
        <w:t>Metodologia detalhada de medição e fiscalização para utilização das provisões orçamentadas para interferências e cadastro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