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relatório a partir desta comparação.</w:t>
      </w:r>
    </w:p>
    <w:p>
      <w:pPr>
        <w:pStyle w:val="Heading2"/>
      </w:pPr>
      <w:r>
        <w:t>Resumo executivo</w:t>
      </w:r>
    </w:p>
    <w:p>
      <w:pPr>
        <w:spacing w:after="80"/>
      </w:pPr>
      <w:r>
        <w:t>As propostas da EcoAqua e da AmbiFlux apresentam o mesmo perímetro físico e funcional para a ETAR do Este e emissário (~3,74 km), mantendo a arquitetura de tratamento (lamas ativadas em vala de oxidação, remoção de N/P, desinfeção UV, digestão anaeróbia com biogás e ApR). Contudo, divergem marcadamente na estratégia técnico-económica e na repartição de risco. A AmbiFlux adota uma estratégia de otimização de CAPEX (29,90 M€) e prazo mais curto (27 meses + 6 meses de apoio), recorrendo a equipamentos de catálogo e instrumentação essencial, mas condicionando fortemente o preço à exatidão dos cadastros e dados geotécnicos fornecidos, o que remete potenciais desvios para trabalhos a mais. A EcoAqua propõe uma abordagem mais robusta e conservadora (35,85 M€ e 30 meses + 12 meses de apoio), com redundância N+1, instrumentação contínua alargada, maiores provisões de contingência e metas de processo internas mais seguras face aos VLE no rio Este.</w:t>
      </w:r>
    </w:p>
    <w:p>
      <w:pPr>
        <w:pStyle w:val="Heading2"/>
      </w:pPr>
      <w:r>
        <w:t>Recomendação</w:t>
      </w:r>
    </w:p>
    <w:p>
      <w:pPr>
        <w:spacing w:after="80"/>
      </w:pPr>
      <w:r>
        <w:t>A recomendação depende da prioridade estratégica do Dono de Obra (AGERE):</w:t>
      </w:r>
    </w:p>
    <w:p>
      <w:pPr>
        <w:spacing w:after="80"/>
      </w:pPr>
      <w:r>
        <w:t>1. Recomendação da EcoAqua: Cenário em que a AGERE priorize a minimização do risco operacional, ambiental e de contencioso de obra. É a escolha recomendada caso o meio recetor (rio Este) exija rigor absoluto no cumprimento de VLE de azoto e fósforo em regimes variáveis de tempo seco/húmido, se valorize a redundância de equipamentos críticos, se pretenda um apoio à otimização alargado (12 meses) e se queira travar a probabilidade de trabalhos a mais decorrentes de interferências no traçado do emissário.</w:t>
      </w:r>
    </w:p>
    <w:p>
      <w:pPr>
        <w:spacing w:after="80"/>
      </w:pPr>
      <w:r>
        <w:t>2. Recomendação da AmbiFlux: Cenário em que a restrição orçamental e a urgência de entrada em serviço sejam determinantes (poupança inicial de ~5,95 M€ e ganho de 3 meses de calendário). É a opção recomendada se a AGERE possuir cadastros de infraestruturas e estudos geotécnicos altamente consolidados e uma equipa de fiscalização capaz de gerir ativamente interfaces de obra e provisões adicionais por preços unitários.</w:t>
      </w:r>
    </w:p>
    <w:p>
      <w:pPr>
        <w:pStyle w:val="Heading2"/>
      </w:pPr>
      <w:r>
        <w:t>Resumo comparativo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632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Prazo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Condicoes Comerciais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Documento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Pressupostos E Exclusoes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Resumo Tecnico</w:t>
            </w:r>
          </w:p>
        </w:tc>
      </w:tr>
      <w:tr>
        <w:tc>
          <w:tcPr>
            <w:tcW w:type="dxa" w:w="1632"/>
          </w:tcPr>
          <w:p>
            <w:r>
              <w:t>EcoAqua Engenharia Integrada, Lda.</w:t>
            </w:r>
          </w:p>
        </w:tc>
        <w:tc>
          <w:tcPr>
            <w:tcW w:type="dxa" w:w="1632"/>
          </w:tcPr>
          <w:p>
            <w:r>
              <w:t>30 meses até à receção provisória (M2 base de projeto, M6 engenharia detalhe, M23 emissário concluído, M25 conclusão mecânica, M29 testes de desempenho e M30 receção provisória) + 12 meses de assistência e otimização pós-arranque.</w:t>
            </w:r>
          </w:p>
        </w:tc>
        <w:tc>
          <w:tcPr>
            <w:tcW w:type="dxa" w:w="1632"/>
          </w:tcPr>
          <w:p>
            <w:r>
              <w:t>Preço global indicativo de 35 850 000 € + IVA (com nota de texto a 35 800 000 € + IVA), incluindo 1 100 000 € em provisões de contingência. Pagamentos: 10% adiantamento, 10% aprovação de engenharia, 55% autos mensais, 10% conclusão mecânica, 10% testes de desempenho e 5% receção provisória. Garantia bancária de 10% com retenção de 5%. Penalidades de 0,05%/dia (máx. 7,5%). Validade de 90 dias.</w:t>
            </w:r>
          </w:p>
        </w:tc>
        <w:tc>
          <w:tcPr>
            <w:tcW w:type="dxa" w:w="1632"/>
          </w:tcPr>
          <w:p>
            <w:r>
              <w:t>EA-ETAR-ESTE-2026-017-FIC (25/08/2026)</w:t>
            </w:r>
          </w:p>
        </w:tc>
        <w:tc>
          <w:tcPr>
            <w:tcW w:type="dxa" w:w="1632"/>
          </w:tcPr>
          <w:p>
            <w:r>
              <w:t>Pressupõe terrenos e acessos disponibilizados a tempo, afluente dentro da base de dimensionamento e entrega de energia na fronteira da instalação. Exclui aquisição de terrenos/taxas de licenciamento, reforços de redes públicas fora da fronteira, remediação de solos contaminados extensivos, redes externas de ApR a utilizadores finais e operação além dos 12 meses de assistência.</w:t>
            </w:r>
          </w:p>
        </w:tc>
        <w:tc>
          <w:tcPr>
            <w:tcW w:type="dxa" w:w="1632"/>
          </w:tcPr>
          <w:p>
            <w:r>
              <w:t>Solução integrada de conceção-construção (ETAR e emissário de ~3,74 km) com tratamento biológico por lamas ativadas em vala de oxidação, remoção avançada de N e P, desinfeção UV, digestão anaeróbia com biogás/cogeração e produção de ApR. Privilegia robustez e redundância N+1 nos equipamentos rotativos críticos, instrumentação contínua de azoto e fósforo e margens internas de operação abaixo dos VLE.</w:t>
            </w:r>
          </w:p>
        </w:tc>
      </w:tr>
      <w:tr>
        <w:tc>
          <w:tcPr>
            <w:tcW w:type="dxa" w:w="1632"/>
          </w:tcPr>
          <w:p>
            <w:r>
              <w:t>AmbiFlux Sistemas de Água, S.A.</w:t>
            </w:r>
          </w:p>
        </w:tc>
        <w:tc>
          <w:tcPr>
            <w:tcW w:type="dxa" w:w="1632"/>
          </w:tcPr>
          <w:p>
            <w:r>
              <w:t>27 meses até à receção provisória (M2 base de projeto, M5 engenharia detalhe, M21 emissário, M25 energização/conclusão mecânica, M26 estabilidade e M27 receção provisória) + 6 meses de assistência técnica inicial.</w:t>
            </w:r>
          </w:p>
        </w:tc>
        <w:tc>
          <w:tcPr>
            <w:tcW w:type="dxa" w:w="1632"/>
          </w:tcPr>
          <w:p>
            <w:r>
              <w:t>Preço global indicativo de 29 900 000 € + IVA, incluindo 650 000 € em provisões de risco/ajustes. Pagamentos: 15% adiantamento contra garantia, 10% aprovação de engenharia, 55% autos mensais, 15% conclusão mecânica e 5% receção provisória. Garantia de 10% com retenção de 5%. Penalidade de 0,03%/dia (máx. 5%). Validade de 60 dias.</w:t>
            </w:r>
          </w:p>
        </w:tc>
        <w:tc>
          <w:tcPr>
            <w:tcW w:type="dxa" w:w="1632"/>
          </w:tcPr>
          <w:p>
            <w:r>
              <w:t>AF-ESTE-26-084-FIC (25/08/2026)</w:t>
            </w:r>
          </w:p>
        </w:tc>
        <w:tc>
          <w:tcPr>
            <w:tcW w:type="dxa" w:w="1632"/>
          </w:tcPr>
          <w:p>
            <w:r>
              <w:t>Pressupõe dados topográficos, geotécnicos e cadastrais fornecidos como suficientes (sem sondagens adicionais de base), afluente sem descargas industriais anómalas e ligação elétrica pública assegurada pelo cliente. Exclui expropriações/licenças, desvios de redes enterradas fora do cadastro além da verba provisória, remediação de solos, desidratação hidrogeológica complexa, redes externas de ApR e operação após 6 meses.</w:t>
            </w:r>
          </w:p>
        </w:tc>
        <w:tc>
          <w:tcPr>
            <w:tcW w:type="dxa" w:w="1632"/>
          </w:tcPr>
          <w:p>
            <w:r>
              <w:t>Solução de conceção-construção para a ETAR e emissário de ~3,74 km orientada a componentes de catálogo normalizados e execução em frentes paralelas para minimizar CAPEX e prazos. Mantém o fluxograma de base (pré-tratamento, decantação lamelar, vala de oxidação, UV, digestão anaeróbia/cogeração e ApR), circunscrevendo a instrumentação e a automação avançada aos pontos estritamente críticos.</w:t>
            </w:r>
          </w:p>
        </w:tc>
      </w:tr>
    </w:tbl>
    <w:p>
      <w:pPr>
        <w:pStyle w:val="Heading2"/>
      </w:pPr>
      <w:r>
        <w:t>Detalhe por proposta</w:t>
      </w:r>
    </w:p>
    <w:p>
      <w:pPr>
        <w:pStyle w:val="Heading2"/>
      </w:pPr>
      <w:r>
        <w:t>EcoAqua Engenharia Integrada, Lda.</w:t>
      </w:r>
    </w:p>
    <w:p>
      <w:r>
        <w:rPr>
          <w:b/>
        </w:rPr>
        <w:t>Pontos fortes:</w:t>
      </w:r>
    </w:p>
    <w:p>
      <w:pPr>
        <w:pStyle w:val="ListBullet"/>
        <w:spacing w:after="40"/>
      </w:pPr>
      <w:r>
        <w:t>Maior robustez operacional com redundância N+1 em equipamentos rotativos principais</w:t>
      </w:r>
    </w:p>
    <w:p>
      <w:pPr>
        <w:pStyle w:val="ListBullet"/>
        <w:spacing w:after="40"/>
      </w:pPr>
      <w:r>
        <w:t>Instrumentação online avançada e controlo adaptativo de remoção de nutrientes</w:t>
      </w:r>
    </w:p>
    <w:p>
      <w:pPr>
        <w:pStyle w:val="ListBullet"/>
        <w:spacing w:after="40"/>
      </w:pPr>
      <w:r>
        <w:t>Margem de segurança face aos VLE de descarga no rio Este</w:t>
      </w:r>
    </w:p>
    <w:p>
      <w:pPr>
        <w:pStyle w:val="ListBullet"/>
        <w:spacing w:after="40"/>
      </w:pPr>
      <w:r>
        <w:t>Acompanhamento técnico pós-arranque alargado a 12 meses</w:t>
      </w:r>
    </w:p>
    <w:p>
      <w:pPr>
        <w:pStyle w:val="ListBullet"/>
        <w:spacing w:after="40"/>
      </w:pPr>
      <w:r>
        <w:t>Inclusão de provisões de contingência (1,10 M€) e investigação georreferenciada prévia de serviços enterrados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Preço de investimento (CAPEX) substancialmente mais elevado (+5,95 M€ face ao concorrente)</w:t>
      </w:r>
    </w:p>
    <w:p>
      <w:pPr>
        <w:pStyle w:val="ListBullet"/>
        <w:spacing w:after="40"/>
      </w:pPr>
      <w:r>
        <w:t>Prazo de execução e entrada em serviço mais longo (30 meses vs. 27 meses)</w:t>
      </w:r>
    </w:p>
    <w:p>
      <w:pPr>
        <w:pStyle w:val="ListBullet"/>
        <w:spacing w:after="40"/>
      </w:pPr>
      <w:r>
        <w:t>Penalidades diárias por atraso mais gravosas para o empreiteiro (0,05%/dia até 7,5%)</w:t>
      </w:r>
    </w:p>
    <w:p>
      <w:pPr>
        <w:pStyle w:val="ListBullet"/>
        <w:spacing w:after="40"/>
      </w:pPr>
      <w:r>
        <w:t>Risco de variação de preços em equipamentos long lead se a adjudicação exceder 90 dias</w:t>
      </w:r>
    </w:p>
    <w:p>
      <w:pPr>
        <w:pStyle w:val="Heading2"/>
      </w:pPr>
      <w:r>
        <w:t>AmbiFlux Sistemas de Água, S.A.</w:t>
      </w:r>
    </w:p>
    <w:p>
      <w:r>
        <w:rPr>
          <w:b/>
        </w:rPr>
        <w:t>Pontos fortes:</w:t>
      </w:r>
    </w:p>
    <w:p>
      <w:pPr>
        <w:pStyle w:val="ListBullet"/>
        <w:spacing w:after="40"/>
      </w:pPr>
      <w:r>
        <w:t>CAPEX muito competitivo (poupança direta de cerca de 5,95 M€ face à EcoAqua)</w:t>
      </w:r>
    </w:p>
    <w:p>
      <w:pPr>
        <w:pStyle w:val="ListBullet"/>
        <w:spacing w:after="40"/>
      </w:pPr>
      <w:r>
        <w:t>Prazo de conclusão mais rápido (27 meses, ganho de 3 meses)</w:t>
      </w:r>
    </w:p>
    <w:p>
      <w:pPr>
        <w:pStyle w:val="ListBullet"/>
        <w:spacing w:after="40"/>
      </w:pPr>
      <w:r>
        <w:t>Engenharia de detalhe concluída mais cedo (M5)</w:t>
      </w:r>
    </w:p>
    <w:p>
      <w:pPr>
        <w:pStyle w:val="ListBullet"/>
        <w:spacing w:after="40"/>
      </w:pPr>
      <w:r>
        <w:t>Penalidades contratuais de atraso mais moderadas (0,03%/dia até 5%)</w:t>
      </w:r>
    </w:p>
    <w:p>
      <w:pPr>
        <w:pStyle w:val="ListBullet"/>
        <w:spacing w:after="40"/>
      </w:pPr>
      <w:r>
        <w:t>Uso intensivo de equipamentos padronizados de catálogo com manutenção acessível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Transferência de risco geológico e de serviços enterrados não cadastrados para o Dono de Obra (trabalhos a mais por preços unitários)</w:t>
      </w:r>
    </w:p>
    <w:p>
      <w:pPr>
        <w:pStyle w:val="ListBullet"/>
        <w:spacing w:after="40"/>
      </w:pPr>
      <w:r>
        <w:t>Menor redundância de equipamentos e instrumentação limitada ao essencial</w:t>
      </w:r>
    </w:p>
    <w:p>
      <w:pPr>
        <w:pStyle w:val="ListBullet"/>
        <w:spacing w:after="40"/>
      </w:pPr>
      <w:r>
        <w:t>Menor margem operacional para suportar picos de carga ou futuros agravamentos legais de descarga de nutrientes</w:t>
      </w:r>
    </w:p>
    <w:p>
      <w:pPr>
        <w:pStyle w:val="ListBullet"/>
        <w:spacing w:after="40"/>
      </w:pPr>
      <w:r>
        <w:t>Período de assistência pós-arranque reduzido (apenas 6 meses)</w:t>
      </w:r>
    </w:p>
    <w:p>
      <w:pPr>
        <w:pStyle w:val="ListBullet"/>
        <w:spacing w:after="40"/>
      </w:pPr>
      <w:r>
        <w:t>Prazo de validade da proposta mais curto (60 dias), com cláusula de revisão de preços por oscilações de mercado superiores a 5%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Identificação nominal, funções e certificados da equipa técnica responsável por cada disciplina de engenharia e gestão ambiental.</w:t>
      </w:r>
    </w:p>
    <w:p>
      <w:pPr>
        <w:pStyle w:val="ListBullet"/>
        <w:spacing w:after="40"/>
      </w:pPr>
      <w:r>
        <w:t>Cronograma executivo detalhado (gráfico de Gantt) com identificação do caminho crítico e marcos de entrega de fornecedores long lead.</w:t>
      </w:r>
    </w:p>
    <w:p>
      <w:pPr>
        <w:pStyle w:val="ListBullet"/>
        <w:spacing w:after="40"/>
      </w:pPr>
      <w:r>
        <w:t>Lista de preços unitários detalhada da AmbiFlux para valoração de trabalhos imprevistos em serviços subterrâneos e geotecnia.</w:t>
      </w:r>
    </w:p>
    <w:p>
      <w:pPr>
        <w:pStyle w:val="ListBullet"/>
        <w:spacing w:after="40"/>
      </w:pPr>
      <w:r>
        <w:t>Clarificação do preço total da EcoAqua entre o somatório das rubricas do mapa económico (35 850 000 €) e o valor indicado nas notas (35 800 000 €).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