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2C3F49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left"/>
            </w:pPr>
            <w:r>
              <w:rPr>
                <w:rFonts w:ascii="Carlito" w:hAnsi="Carlito"/>
                <w:b/>
                <w:color w:val="FFFFFF"/>
                <w:sz w:val="30"/>
              </w:rPr>
              <w:t>AmbiFlux Sistemas de Água, S.A.</w:t>
            </w:r>
          </w:p>
          <w:p>
            <w:r>
              <w:rPr>
                <w:rFonts w:ascii="Carlito" w:hAnsi="Carlito"/>
                <w:color w:val="DDEBED"/>
                <w:sz w:val="18"/>
              </w:rPr>
              <w:t>Solução padronizada, execução rápida e CAPEX otimizado</w:t>
            </w:r>
          </w:p>
        </w:tc>
      </w:tr>
    </w:tbl>
    <w:p>
      <w:pPr>
        <w:spacing w:after="480"/>
      </w:pPr>
    </w:p>
    <w:p>
      <w:pPr>
        <w:jc w:val="left"/>
      </w:pPr>
      <w:r>
        <w:rPr>
          <w:rFonts w:ascii="Carlito" w:hAnsi="Carlito"/>
          <w:b/>
          <w:color w:val="496A7A"/>
          <w:sz w:val="24"/>
        </w:rPr>
        <w:t>PROPOSTA TÉCNICO-COMERCIAL</w:t>
      </w:r>
    </w:p>
    <w:p>
      <w:pPr>
        <w:spacing w:after="120"/>
        <w:jc w:val="left"/>
      </w:pPr>
      <w:r>
        <w:rPr>
          <w:rFonts w:ascii="Carlito" w:hAnsi="Carlito"/>
          <w:b/>
          <w:color w:val="2C3F49"/>
          <w:sz w:val="52"/>
        </w:rPr>
        <w:t>Emissário e Estação de Tratamento</w:t>
        <w:br/>
        <w:t>de Águas Residuais do Este</w:t>
      </w:r>
    </w:p>
    <w:p>
      <w:pPr>
        <w:spacing w:after="440"/>
      </w:pPr>
      <w:r>
        <w:rPr>
          <w:rFonts w:ascii="Carlito" w:hAnsi="Carlito"/>
          <w:color w:val="555555"/>
          <w:sz w:val="22"/>
        </w:rPr>
        <w:t>Braga — Engenharia, construção, fornecimento, comissionamento e assistência inicial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81"/>
        <w:gridCol w:w="7257"/>
      </w:tblGrid>
      <w:tr>
        <w:tc>
          <w:tcPr>
            <w:tcW w:type="dxa" w:w="5128"/>
            <w:shd w:fill="EEF3F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Proposta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AF-ESTE-26-084-FIC</w:t>
            </w:r>
          </w:p>
        </w:tc>
      </w:tr>
      <w:tr>
        <w:tc>
          <w:tcPr>
            <w:tcW w:type="dxa" w:w="5128"/>
            <w:shd w:fill="EEF3F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Data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25 de agosto de 2026</w:t>
            </w:r>
          </w:p>
        </w:tc>
      </w:tr>
      <w:tr>
        <w:tc>
          <w:tcPr>
            <w:tcW w:type="dxa" w:w="5128"/>
            <w:shd w:fill="EEF3F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Validade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60 dias</w:t>
            </w:r>
          </w:p>
        </w:tc>
      </w:tr>
      <w:tr>
        <w:tc>
          <w:tcPr>
            <w:tcW w:type="dxa" w:w="5128"/>
            <w:shd w:fill="EEF3F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Natureza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Documento fictício exclusivamente para testes de IA / comparação de propostas</w:t>
            </w:r>
          </w:p>
        </w:tc>
      </w:tr>
    </w:tbl>
    <w:p>
      <w:pPr>
        <w:spacing w:after="3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FF1F0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B3261E"/>
                <w:sz w:val="23"/>
              </w:rPr>
              <w:t>PROPOSTA FICTÍCIA GERADA PARA TESTES — NÃO FORNECIDA PELA SIMBIENTE</w:t>
            </w:r>
          </w:p>
        </w:tc>
      </w:tr>
    </w:tbl>
    <w:p>
      <w:pPr>
        <w:spacing w:after="320"/>
      </w:pPr>
    </w:p>
    <w:p>
      <w:r>
        <w:rPr>
          <w:rFonts w:ascii="Carlito" w:hAnsi="Carlito"/>
          <w:b/>
          <w:color w:val="2C3F49"/>
          <w:sz w:val="18"/>
        </w:rPr>
        <w:t>Fornecedor e contactos fictícios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Praça das Infraestruturas, 7 — 4710-995 Braga (morada fictícia)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+351 210 000 202 (fictício)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concursos@ambiflux-teste.example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www.ambiflux-teste.example</w:t>
      </w:r>
    </w:p>
    <w:p>
      <w:pPr>
        <w:pStyle w:val="SmallNote"/>
        <w:spacing w:before="240"/>
      </w:pPr>
      <w:r>
        <w:rPr>
          <w:rFonts w:ascii="Carlito" w:hAnsi="Carlito"/>
          <w:i/>
          <w:color w:val="777777"/>
          <w:sz w:val="16"/>
        </w:rPr>
        <w:t>Esta proposta não constitui oferta real, orçamento, compromisso contratual nem documento emitido por qualquer entidade identificada nos estudos de referência.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1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RESUMO EXECUTIVO E ENTENDIMENTO DO PROJETO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Síntese da necessidade, base de dimensionamento e posicionamento da solução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AmbiFlux propõe uma empreitada integrada de engenharia de detalhe, construção, fornecimento eletromecânico, automação e arranque para a ETAR do Este e o emissário associado, adotando uma arquitetura de processo coerente com a solução definida no Projeto de Execução. A proposta privilegia equipamentos de catálogo, interfaces normalizadas e execução em frentes paralelas, com o objetivo de reduzir CAPEX e encurtar o período até entrada em serviço.</w:t>
      </w:r>
    </w:p>
    <w:p>
      <w:pPr>
        <w:jc w:val="both"/>
      </w:pPr>
      <w:r>
        <w:rPr>
          <w:rFonts w:ascii="Carlito" w:hAnsi="Carlito"/>
          <w:sz w:val="18"/>
        </w:rPr>
        <w:t>A solução mantém as etapas essenciais de tratamento — pré-tratamento, decantação primária, lamas ativadas em vala de oxidação, remoção de nutrientes, decantação secundária, UV e tratamento de lamas com digestão/valorização de biogás — mas limita investigação complementar e instrumentação avançada aos pontos considerados críticos. A verificação de serviços existentes, condições geotécnicas adicionais e alguns trabalhos de desvio são assumidos com base na informação disponibilizada e tratados por preços unitários/provisões caso se materializem.</w:t>
      </w:r>
    </w:p>
    <w:p>
      <w:pPr>
        <w:jc w:val="both"/>
      </w:pPr>
      <w:r>
        <w:rPr>
          <w:rFonts w:ascii="Carlito" w:hAnsi="Carlito"/>
          <w:sz w:val="18"/>
        </w:rPr>
        <w:t>A proposta é comercialmente competitiva e tecnicamente adequada ao envelope de projeto, embora com menor margem para alterações de requisitos durante a obra. O cumprimento dos valores de descarga é garantido desde que o afluente se mantenha dentro das cargas e condições hidráulicas acordadas. Requisitos que excedam a base de projeto, nomeadamente limites futuros mais restritivos, expansão de ApR a terceiros ou monitorização adicional não prevista, serão avaliados como opções ou alterações contratuais.</w:t>
      </w:r>
    </w:p>
    <w:p>
      <w:pPr>
        <w:pStyle w:val="Heading2"/>
      </w:pPr>
      <w:r>
        <w:t>Base de referência do projeto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803"/>
      </w:tblGrid>
      <w:tr>
        <w:trPr>
          <w:tblHeader w:val="true"/>
        </w:trPr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Parâmetro</w:t>
            </w:r>
          </w:p>
        </w:tc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Base de referência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Localização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Braga, Região Norte — ETAR do Este e emissário associado</w:t>
            </w:r>
          </w:p>
        </w:tc>
      </w:tr>
      <w:tr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Horizonte de projeto</w:t>
            </w:r>
          </w:p>
        </w:tc>
        <w:tc>
          <w:tcPr>
            <w:tcW w:type="dxa" w:w="680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2042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População equivalente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146 426 h.e. de referência, com capacidade de evolução até cerca de 199 485 h.e.</w:t>
            </w:r>
          </w:p>
        </w:tc>
      </w:tr>
      <w:tr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Caudal máximo — tempo seco</w:t>
            </w:r>
          </w:p>
        </w:tc>
        <w:tc>
          <w:tcPr>
            <w:tcW w:type="dxa" w:w="680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20 224 m³/d (condição máxima de tempo seco)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Caudal máximo — tempo húmido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29 325 m³/d (condição máxima de tempo húmido)</w:t>
            </w:r>
          </w:p>
        </w:tc>
      </w:tr>
      <w:tr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Emissário</w:t>
            </w:r>
          </w:p>
        </w:tc>
        <w:tc>
          <w:tcPr>
            <w:tcW w:type="dxa" w:w="680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aprox. 3,74 km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Meio recetor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rio Este, bacia hidrográfica do Ave</w:t>
            </w:r>
          </w:p>
        </w:tc>
      </w:tr>
    </w:tbl>
    <w:p>
      <w:pPr>
        <w:pStyle w:val="SmallNote"/>
      </w:pPr>
      <w:r>
        <w:rPr>
          <w:rFonts w:ascii="Carlito" w:hAnsi="Carlito"/>
          <w:i/>
          <w:color w:val="666666"/>
          <w:sz w:val="16"/>
        </w:rPr>
        <w:t>Nota: os valores acima foram resumidos dos documentos de referência disponibilizados e são usados apenas para construir um cenário de proposta comparável; qualquer contrato real exigiria validação do Projeto de Execução e dos títulos aplicáveis.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2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ÂMBITO DA PROPOSTA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Fronteira técnica, interfaces e principais sistemas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presente proposta considera um modelo de responsabilidade integrada desde a revisão do projeto até à receção provisória. O âmbito foi estruturado para que os dois concorrentes sejam comparáveis no mesmo perímetro físico: ETAR, emissário, sistemas auxiliares, integração ambiental, automação e arranque.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Revisão e compatibilização do Projeto de Execução, emissão de desenhos de construção e listas finais de equipamentos.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Engenharia de detalhe de processo, civil, mecânica, elétrica, instrumentação e automação, com coordenação 3D nas zonas de maior densidade de equipamentos.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Construção dos órgãos e edifícios da ETAR, redes internas, arranjos exteriores e medidas de integração previstas no projeto.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Execução do emissário de cerca de 3,74 km, incluindo câmaras e ligações dentro dos limites definidos nos desenhos de referência.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Linha líquida de tratamento com pré-tratamento, decantação primária lamelar, tratamento biológico em vala de oxidação, remoção de azoto, dosagem química de fósforo, decantação secundária e UV.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Linha de lamas com espessamento, digestão anaeróbia aquecida, cogeração de biogás, desidratação e secagem solar.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Captação e tratamento de ar nas principais fontes odoríferas, dimensionados para operação normal e picos de curta duração.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Infraestrutura de reutilização para água de serviço e reserva de ligação para ApR externa, sem estudo de utilizadores finais.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Instalação fotovoltaica e integração básica da medição de energia no SCADA.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Comissionamento, teste de desempenho, formação e 6 meses de assistência operacional.</w:t>
      </w:r>
    </w:p>
    <w:p>
      <w:pPr>
        <w:pStyle w:val="Heading2"/>
      </w:pPr>
      <w:r>
        <w:t>Fronteiras e interfaces principais</w:t>
      </w:r>
    </w:p>
    <w:p>
      <w:pPr>
        <w:jc w:val="both"/>
      </w:pPr>
      <w:r>
        <w:rPr>
          <w:rFonts w:ascii="Carlito" w:hAnsi="Carlito"/>
          <w:sz w:val="18"/>
        </w:rPr>
        <w:t>A interface a montante é a câmara/rede de onde os caudais são encaminhados para o novo emissário; a jusante inclui a descarga de efluente tratado no rio Este e os pontos internos/externos preparados para ApR. A alimentação elétrica é considerada no ponto de entrega da instalação e as telecomunicações de supervisão são integradas na arquitetura OT local. Todas as ligações ao sistema existente são programadas em janelas operacionais acordadas com a entidade gestora.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3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METODOLOGIA E SOLUÇÃO TÉCNICA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Como a proposta transforma o Projeto de Execução numa instalação operacional</w:t>
            </w:r>
          </w:p>
        </w:tc>
      </w:tr>
    </w:tbl>
    <w:p>
      <w:pPr>
        <w:spacing w:after="20"/>
      </w:pPr>
    </w:p>
    <w:p>
      <w:pPr>
        <w:spacing w:after="80"/>
      </w:pPr>
      <w:r>
        <w:rPr>
          <w:rFonts w:ascii="Carlito" w:hAnsi="Carlito"/>
          <w:b/>
          <w:color w:val="2C3F49"/>
          <w:sz w:val="18"/>
        </w:rPr>
        <w:t xml:space="preserve">1. Congelamento rápido da base de projeto — </w:t>
      </w:r>
      <w:r>
        <w:rPr>
          <w:rFonts w:ascii="Carlito" w:hAnsi="Carlito"/>
          <w:sz w:val="18"/>
        </w:rPr>
        <w:t>Reunião de kickoff, lista de clarificações e fecho dos requisitos de processo até ao final do mês 2. Alterações posteriores são controladas por change order.</w:t>
      </w:r>
    </w:p>
    <w:p>
      <w:pPr>
        <w:spacing w:after="80"/>
      </w:pPr>
      <w:r>
        <w:rPr>
          <w:rFonts w:ascii="Carlito" w:hAnsi="Carlito"/>
          <w:b/>
          <w:color w:val="2C3F49"/>
          <w:sz w:val="18"/>
        </w:rPr>
        <w:t xml:space="preserve">2. Engenharia orientada a standardização — </w:t>
      </w:r>
      <w:r>
        <w:rPr>
          <w:rFonts w:ascii="Carlito" w:hAnsi="Carlito"/>
          <w:sz w:val="18"/>
        </w:rPr>
        <w:t>Uso de bibliotecas de detalhes e skids de catálogo para reduzir interfaces. Coordenação 3D nos edifícios de processo, mantendo 2D CAD para redes/zonas lineares do emissário.</w:t>
      </w:r>
    </w:p>
    <w:p>
      <w:pPr>
        <w:spacing w:after="80"/>
      </w:pPr>
      <w:r>
        <w:rPr>
          <w:rFonts w:ascii="Carlito" w:hAnsi="Carlito"/>
          <w:b/>
          <w:color w:val="2C3F49"/>
          <w:sz w:val="18"/>
        </w:rPr>
        <w:t xml:space="preserve">3. Procurement antecipado — </w:t>
      </w:r>
      <w:r>
        <w:rPr>
          <w:rFonts w:ascii="Carlito" w:hAnsi="Carlito"/>
          <w:sz w:val="18"/>
        </w:rPr>
        <w:t>Reserva de UV, sopradores, centrífugas, quadros elétricos e equipamentos de biogás durante a fase inicial, com equivalentes técnicos aprováveis.</w:t>
      </w:r>
    </w:p>
    <w:p>
      <w:pPr>
        <w:spacing w:after="80"/>
      </w:pPr>
      <w:r>
        <w:rPr>
          <w:rFonts w:ascii="Carlito" w:hAnsi="Carlito"/>
          <w:b/>
          <w:color w:val="2C3F49"/>
          <w:sz w:val="18"/>
        </w:rPr>
        <w:t xml:space="preserve">4. Construção em paralelo — </w:t>
      </w:r>
      <w:r>
        <w:rPr>
          <w:rFonts w:ascii="Carlito" w:hAnsi="Carlito"/>
          <w:sz w:val="18"/>
        </w:rPr>
        <w:t>Duas frentes principais — ETAR e emissário — com planeamento semanal, ITP por disciplina e testes progressivos à medida que as áreas ficam disponíveis.</w:t>
      </w:r>
    </w:p>
    <w:p>
      <w:pPr>
        <w:spacing w:after="80"/>
      </w:pPr>
      <w:r>
        <w:rPr>
          <w:rFonts w:ascii="Carlito" w:hAnsi="Carlito"/>
          <w:b/>
          <w:color w:val="2C3F49"/>
          <w:sz w:val="18"/>
        </w:rPr>
        <w:t xml:space="preserve">5. Comissionamento concentrado — </w:t>
      </w:r>
      <w:r>
        <w:rPr>
          <w:rFonts w:ascii="Carlito" w:hAnsi="Carlito"/>
          <w:sz w:val="18"/>
        </w:rPr>
        <w:t>Pré-comissionamento por subsistema, seguida de wet commissioning e teste de desempenho de 21 dias após estabilização. FAT presencial apenas para equipamentos críticos; restantes FAT documentais/remotos.</w:t>
      </w:r>
    </w:p>
    <w:p>
      <w:pPr>
        <w:spacing w:after="80"/>
      </w:pPr>
      <w:r>
        <w:rPr>
          <w:rFonts w:ascii="Carlito" w:hAnsi="Carlito"/>
          <w:b/>
          <w:color w:val="2C3F49"/>
          <w:sz w:val="18"/>
        </w:rPr>
        <w:t xml:space="preserve">6. Entrega e assistência — </w:t>
      </w:r>
      <w:r>
        <w:rPr>
          <w:rFonts w:ascii="Carlito" w:hAnsi="Carlito"/>
          <w:sz w:val="18"/>
        </w:rPr>
        <w:t>Formação operacional, manuais O&amp;M e assistência de 6 meses focada em afinação de processo e resolução de defeitos de arranque.</w:t>
      </w:r>
    </w:p>
    <w:p>
      <w:pPr>
        <w:pStyle w:val="Heading2"/>
      </w:pPr>
      <w:r>
        <w:t>Critérios de desempenho de referência</w:t>
      </w:r>
    </w:p>
    <w:p>
      <w:pPr>
        <w:jc w:val="both"/>
      </w:pPr>
      <w:r>
        <w:rPr>
          <w:rFonts w:ascii="Carlito" w:hAnsi="Carlito"/>
          <w:sz w:val="18"/>
        </w:rPr>
        <w:t>A linha de tratamento será afinada para garantir, dentro do envelope contratual de afluente, os valores-limite definidos na documentação de referência. A proposta não altera os VLE; quando indicado, utiliza metas internas de operação mais exigentes para criar margem de segurança.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23"/>
      </w:tblGrid>
      <w:tr>
        <w:trPr>
          <w:tblHeader w:val="true"/>
        </w:trPr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Parâmetro</w:t>
            </w:r>
          </w:p>
        </w:tc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Base de referência</w:t>
            </w:r>
          </w:p>
        </w:tc>
      </w:tr>
      <w:tr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CQO</w:t>
            </w:r>
          </w:p>
        </w:tc>
        <w:tc>
          <w:tcPr>
            <w:tcW w:type="dxa" w:w="612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75 mg O₂/L</w:t>
            </w:r>
          </w:p>
        </w:tc>
      </w:tr>
      <w:tr>
        <w:tc>
          <w:tcPr>
            <w:tcW w:type="dxa" w:w="368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CBO₅</w:t>
            </w:r>
          </w:p>
        </w:tc>
        <w:tc>
          <w:tcPr>
            <w:tcW w:type="dxa" w:w="612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15 mg O₂/L</w:t>
            </w:r>
          </w:p>
        </w:tc>
      </w:tr>
      <w:tr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SST</w:t>
            </w:r>
          </w:p>
        </w:tc>
        <w:tc>
          <w:tcPr>
            <w:tcW w:type="dxa" w:w="612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30 mg/L</w:t>
            </w:r>
          </w:p>
        </w:tc>
      </w:tr>
      <w:tr>
        <w:tc>
          <w:tcPr>
            <w:tcW w:type="dxa" w:w="368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Azoto total</w:t>
            </w:r>
          </w:p>
        </w:tc>
        <w:tc>
          <w:tcPr>
            <w:tcW w:type="dxa" w:w="612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10 mg/L</w:t>
            </w:r>
          </w:p>
        </w:tc>
      </w:tr>
      <w:tr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Fósforo total</w:t>
            </w:r>
          </w:p>
        </w:tc>
        <w:tc>
          <w:tcPr>
            <w:tcW w:type="dxa" w:w="612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3 mg/L no estio / 5 mg/L no período normal</w:t>
            </w:r>
          </w:p>
        </w:tc>
      </w:tr>
      <w:tr>
        <w:tc>
          <w:tcPr>
            <w:tcW w:type="dxa" w:w="368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Coliformes fecais</w:t>
            </w:r>
          </w:p>
        </w:tc>
        <w:tc>
          <w:tcPr>
            <w:tcW w:type="dxa" w:w="612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1 000 NMP/100 mL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4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EQUIPA, GOVERNAÇÃO E CONTROLO DE QUALIDADE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Estrutura de decisão, perfis e rotinas de execução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organização proposta separa decisão contratual, engenharia, construção e comissionamento, mantendo um único Diretor de Projeto como ponto de responsabilidade. Todos os nomes e perfis abaixo são fictícios e existem apenas para tornar o documento de teste realista.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928"/>
        <w:gridCol w:w="4422"/>
        <w:gridCol w:w="907"/>
      </w:tblGrid>
      <w:tr>
        <w:trPr>
          <w:tblHeader w:val="true"/>
        </w:trPr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Função</w:t>
            </w:r>
          </w:p>
        </w:tc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Perfil fictício</w:t>
            </w:r>
          </w:p>
        </w:tc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Responsabilidade principal</w:t>
            </w:r>
          </w:p>
        </w:tc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Dedicação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Diretor de Projeto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André Selmar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Contrato, planeamento e coordenação de interfaces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0,6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Responsável de Processo/Arranque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Eng.ª Joana Merial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Cálculos de processo, garantias e comissionamento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0,9 FTE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Coordenação Civil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Luís Corvel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Órgãos, edifícios, fundações e obra civil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0,8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Emissário e Redes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Eng.ª Rita Delmar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Traçado, câmaras, ligações e testes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0,6 FTE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Elétrica/Automação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Vasco Narel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BT/MT, PLC/SCADA e instrumentação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0,8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Ambiente/Qualidade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Dra. Sílvia Paredal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Conformidade documental, resíduos e monitorização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0,4 FTE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Comissionamento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Miguel Orven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SAT, arranque e formação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0,6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Chefia de Obra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Eng.ª Diana Serol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Produção, subempreiteiros e segurança de obra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1,0 FTE</w:t>
            </w:r>
          </w:p>
        </w:tc>
      </w:tr>
    </w:tbl>
    <w:p>
      <w:pPr>
        <w:pStyle w:val="Heading2"/>
      </w:pPr>
      <w:r>
        <w:t>Governação e reporting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Reunião semanal de produção e coordenação; reunião mensal de direção com prazo, custo, H&amp;S, qualidade e alterações.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RFI/submittals e change log centralizados; fecho da base de projeto no final do mês 2 para limitar retrabalho.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Gates de aprovação dos principais equipamentos, mechanical completion, energização, wet commissioning e performance test.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Auditorias de qualidade por fase crítica e tratamento de não conformidades antes da entrega.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5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CRONOGRAMA DE EXECUÇÃO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Planeamento indicativo até receção provisória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duração contratual proposta é de 27 meses até receção provisória + 6 meses de assistência operacional. O cronograma assume frentes simultâneas na ETAR e no emissário e encomenda antecipada de equipamentos de maior prazo de fabrico.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8334"/>
      </w:tblGrid>
      <w:tr>
        <w:trPr>
          <w:tblHeader w:val="true"/>
        </w:trPr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Período</w:t>
            </w:r>
          </w:p>
        </w:tc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Atividades principais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M0–M2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Mobilização, revisão documental, clarificações, levantamento topográfico localizado e fecho da base de projeto.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M1–M5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Engenharia de detalhe, submittals e encomenda dos principais equipamentos.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M3–M20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Construção civil da ETAR, edifícios, órgãos e redes enterradas.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M3–M21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Execução do emissário, câmaras, travessias e ensaios.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M7–M23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Montagem mecânica, elétrica, automação, linha de lamas, biogás, UV e FV.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M21–M25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Pré-comissionamento e energização por áreas.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M23–M26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Wet commissioning, estabilização do processo e formação.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2C3F49"/>
                <w:sz w:val="17"/>
              </w:rPr>
              <w:t>M27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Teste de desempenho, dossier de receção provisória e início de 6 meses de assistência.</w:t>
            </w:r>
          </w:p>
        </w:tc>
      </w:tr>
    </w:tbl>
    <w:p>
      <w:pPr>
        <w:pStyle w:val="Heading2"/>
      </w:pPr>
      <w:r>
        <w:t>Marcos contratuais propostos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 — fecho da Basis of Design / base de projeto e matriz de clarificações;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M6 (EcoAqua) / M5 (AmbiFlux) — emissão principal de engenharia para construção;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M23 ±1 — emissário substancialmente concluído e ensaiado;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M25 ±1 — conclusão mecânica dos principais sistemas;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M29/M26 — estabilidade de processo para início de testes de desempenho;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M30/M27 — receção provisória, sujeita ao fecho dos itens de punch list de classe A.</w:t>
      </w:r>
    </w:p>
    <w:p>
      <w:pPr>
        <w:pStyle w:val="SmallNote"/>
      </w:pPr>
      <w:r>
        <w:rPr>
          <w:rFonts w:ascii="Carlito" w:hAnsi="Carlito"/>
          <w:i/>
          <w:color w:val="666666"/>
          <w:sz w:val="16"/>
        </w:rPr>
        <w:t>Os marcos com duas referências de mês refletem a diferença de programa entre as duas propostas e são mantidos no documento para facilitar a comparação de testes; prevalece a linha temporal específica da presente proposta.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6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ENTREGÁVEIS E DOCUMENTAÇÃO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Dossier de engenharia, construção, comissionamento e entrega</w:t>
            </w:r>
          </w:p>
        </w:tc>
      </w:tr>
    </w:tbl>
    <w:p>
      <w:pPr>
        <w:spacing w:after="20"/>
      </w:pP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Relatório de revisão do Projeto de Execução e lista de clarificações aprovadas.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Memórias de cálculo de processo e hidráulica, desenhos IFC e listas finais de equipamentos.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P&amp;ID, layouts de equipamentos, isométricos selecionados e fichas técnicas dos equipamentos principais.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Diagramas unifilares, listas de I/O, descrição funcional do controlo e backups PLC/SCADA.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Plano de Gestão Ambiental de Obra, plano de resíduos/RCD e registos de acompanhamento.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ITP e certificados de ensaio; FAT presenciais para UV, sopradores, centrífugas e quadros principais.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Plano de comissionamento, checklists, manuais O&amp;M, formação e lista recomendada de sobressalentes.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Desenhos as-built 2D e modelo 3D atualizado dos edifícios/órgãos principais.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Relatório de teste de desempenho e relatório final da assistência de 6 meses.</w:t>
      </w:r>
    </w:p>
    <w:p>
      <w:pPr>
        <w:pStyle w:val="Heading2"/>
      </w:pPr>
      <w:r>
        <w:t>Formato e controlo documental</w:t>
      </w:r>
    </w:p>
    <w:p>
      <w:pPr>
        <w:jc w:val="both"/>
      </w:pPr>
      <w:r>
        <w:rPr>
          <w:rFonts w:ascii="Carlito" w:hAnsi="Carlito"/>
          <w:sz w:val="18"/>
        </w:rPr>
        <w:t>Os documentos serão fornecidos em PDF e formatos editáveis usuais de engenharia. O as-built inclui desenhos 2D e atualização do modelo 3D nas zonas principais, listas de equipamentos e backups de automação. A estrutura de asset register é fornecida em folha de cálculo, sem plataforma dedicada de gestão de ativos.</w:t>
      </w:r>
    </w:p>
    <w:p>
      <w:pPr>
        <w:pStyle w:val="Heading2"/>
      </w:pPr>
      <w:r>
        <w:t>Documentação de referência consultada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1a_RNT_EIA_etar-este_v25ago23.pdf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2_RS_EIA_etar-este_v04mai23.pdf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4_PDesenhadas_EIA_etar-este_v04mai23.pdf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5_Elementos_adicionais_EIA_etar-este_v25ago23_AGERE.pdf</w:t>
      </w:r>
    </w:p>
    <w:p>
      <w:pPr>
        <w:pStyle w:val="SmallNote"/>
      </w:pPr>
      <w:r>
        <w:rPr>
          <w:rFonts w:ascii="Carlito" w:hAnsi="Carlito"/>
          <w:i/>
          <w:color w:val="666666"/>
          <w:sz w:val="16"/>
        </w:rPr>
        <w:t>O conteúdo das propostas é uma síntese original criada para teste. Não são reproduzidas passagens extensas dos documentos de referência.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7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LICENCIAMENTO E CONFORMIDADE AMBIENTAL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Responsabilidades, matriz legal e condicionantes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execução será conduzida em coerência com o processo de AIA e com os títulos aplicáveis à descarga, utilização de recursos hídricos, produção de ApR e gestão de resíduos. A lista seguinte é uma base técnica de conformidade e não substitui uma revisão jurídica/administrativa na data de adjudicação.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Regime jurídico de Avaliação de Impacte Ambiental — Decreto-Lei n.º 151-B/2013, na redação em vigor, e decisão/condicionantes aplicáveis ao projeto.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Tratamento de águas residuais urbanas — Decreto-Lei n.º 152/97, na redação em vigor, sem prejuízo da futura transposição nacional da Diretiva (UE) 2024/3019.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Utilização dos recursos hídricos e descarga — títulos/licenças aplicáveis ao abrigo da Lei da Água e do regime de utilização dos recursos hídricos, conforme instrução da APA.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Produção e utilização de Água para Reutilização (ApR) — Decreto-Lei n.º 119/2019, na redação em vigor, incluindo avaliação de risco e licenciamento quando exista utilização externa.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Regime Geral de Gestão de Resíduos e resíduos de construção e demolição — Decreto-Lei n.º 102-D/2020, na redação em vigor.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Regulamento Geral do Ruído — Decreto-Lei n.º 9/2007, na redação em vigor.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Proteção de espécies arbóreas legalmente protegidas, condicionantes de REN/PDM e demais servidões/restrições identificadas no processo de AIA.</w:t>
      </w:r>
    </w:p>
    <w:p>
      <w:pPr>
        <w:pStyle w:val="Heading2"/>
      </w:pPr>
      <w:r>
        <w:t>Condicionantes de projeto com tratamento específico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Proteção e gestão de exemplares arbóreos legalmente protegidos identificados na área/proximidade do projeto, com piquetagem prévia, zonas de exclusão e autorizações quando aplicáveis.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Gestão de solos, escavações, águas de obra e risco de erosão junto às linhas de água; separação de águas limpas/contaminadas e resposta a derrames.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Compatibilização com PDM, REN, servidões, acessos e travessias; restituição de terrenos e integração paisagística após obra.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Controlo de ruído, poeiras, tráfego de obra, resíduos/RCD e comunicação com recetores sensíveis.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Segregação e rastreabilidade do circuito de ApR, com futura avaliação de risco/licenciamento antes de cedência a utilizadores externos.</w:t>
      </w:r>
    </w:p>
    <w:p>
      <w:pPr>
        <w:jc w:val="both"/>
      </w:pPr>
      <w:r>
        <w:rPr>
          <w:rFonts w:ascii="Carlito" w:hAnsi="Carlito"/>
          <w:sz w:val="18"/>
        </w:rPr>
        <w:t>A AmbiFlux inclui matriz de requisitos e acompanhamento ambiental documental da obra. Estudos ou autorizações adicionais que resultem de alterações ao projeto ou de exigências não identificadas na documentação de referência serão propostos separadamente.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8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MONITORIZAÇÃO, CONTROLO E GARANTIAS DE DESEMPENHO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Instrumentação, amostragem e verificação da exploração</w:t>
            </w:r>
          </w:p>
        </w:tc>
      </w:tr>
    </w:tbl>
    <w:p>
      <w:pPr>
        <w:spacing w:after="20"/>
      </w:pP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Medição online de caudal, pH, oxigénio dissolvido, turbidez e intensidade UV, com NH₄-N no efluente biológico para apoio ao controlo de nitrificação.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Amostragem laboratorial conforme requisitos de licença/EIA e controlo operacional, utilizando amostradores automáticos à entrada e descarga final.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Campanhas de recursos hídricos a montante e jusante durante o primeiro ano com periodicidade inicial trimestral, ajustável à decisão da autoridade e aos resultados obtidos.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Campanha de ruído no comissionamento e nova medição em caso de alteração material ou reclamação fundamentada.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Verificação funcional do sistema de desodorização e medições de H₂S durante o arranque; campanhas olfatométricas não incluídas de base.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Indicadores mensais de energia, reagentes, produção de lamas e biogás. Não se inclui plataforma dedicada de analytics/digital twin.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Relatório anual de monitorização consolidado, assumindo que formatos adicionais ou campanhas extraordinárias serão instruídos separadamente.</w:t>
      </w:r>
    </w:p>
    <w:p>
      <w:pPr>
        <w:pStyle w:val="Heading2"/>
      </w:pPr>
      <w:r>
        <w:t>Garantia de processo</w:t>
      </w:r>
    </w:p>
    <w:p>
      <w:pPr>
        <w:jc w:val="both"/>
      </w:pPr>
      <w:r>
        <w:rPr>
          <w:rFonts w:ascii="Carlito" w:hAnsi="Carlito"/>
          <w:sz w:val="18"/>
        </w:rPr>
        <w:t>A garantia de processo cobre a capacidade e o cumprimento dos VLE do projeto para condições de afluente dentro do envelope acordado. Não são estabelecidas metas contratuais inferiores aos VLE. A dosagem de reagente de fósforo e a aeração serão afinadas durante o arranque para equilibrar conformidade, energia e consumo químico.</w:t>
      </w:r>
    </w:p>
    <w:p>
      <w:pPr>
        <w:jc w:val="both"/>
      </w:pPr>
      <w:r>
        <w:rPr>
          <w:rFonts w:ascii="Carlito" w:hAnsi="Carlito"/>
          <w:sz w:val="18"/>
        </w:rPr>
        <w:t>O teste de desempenho é proposto por 21 dias após estabilização. Se ocorrerem cargas anómalas, falhas externas de energia/reagente ou influente fora da base, o período afetado é excluído e o teste prolongado pelo tempo necessário para obter condições representativas.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9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PRESSUPOSTOS, EXCLUSÕES E RISCOS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O que está assumido e onde pode existir variação de preço/prazo</w:t>
            </w:r>
          </w:p>
        </w:tc>
      </w:tr>
    </w:tbl>
    <w:p>
      <w:pPr>
        <w:spacing w:after="20"/>
      </w:pPr>
    </w:p>
    <w:p>
      <w:pPr>
        <w:pStyle w:val="Heading2"/>
      </w:pPr>
      <w:r>
        <w:t>Pressupostos principais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 informação geotécnica, topográfica e de serviços existentes fornecida é considerada suficiente para a proposta. Sondagens adicionais só serão realizadas se tecnicamente indispensáveis.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Os caudais e cargas afluentes permanecem dentro do envelope definido no projeto; descargas industriais anómalas ou picos fora da base poderão suspender a garantia de processo enquanto persistirem.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Não existem contaminações relevantes de solos nem materiais perigosos fora dos normalmente esperados numa obra desta natureza.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 entidade gestora assegura autorizações de ocupação de terrenos, servidões, coordenação institucional e disponibilidade das janelas de ligação ao sistema existente.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 ligação elétrica é disponibilizada no limite da instalação com potência compatível. Custos de reforço da rede pública são do Dono de Obra.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 reutilização externa de ApR fica limitada à infraestrutura física prevista; identificação de utilizadores, avaliação de risco específica e licenças de utilização são trabalho futuro.</w:t>
      </w:r>
    </w:p>
    <w:p>
      <w:pPr>
        <w:pStyle w:val="Heading2"/>
      </w:pPr>
      <w:r>
        <w:t>Exclusões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Aquisição/expropriação de terrenos, indemnizações e taxas oficiais de licenciamento.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Desvios extensivos de serviços enterrados não representados nos cadastros fornecidos; existe apenas uma verba provisória limitada para pequenas adaptações.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Tratamento de solos contaminados, bombagem/dewatering prolongado por condições hidrogeológicas não documentadas e contenções especiais fora da solução de base.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Monitorização ambiental adicional à definida nesta proposta, incluindo campanhas olfatométricas ou estudos ecológicos complementares salvo solicitação específica.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Rede de distribuição de ApR para terceiros e licenciamento de utilizadores finais.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Operação integral após os 6 meses de assistência.</w:t>
      </w:r>
    </w:p>
    <w:p>
      <w:pPr>
        <w:pStyle w:val="Heading2"/>
      </w:pPr>
      <w:r>
        <w:t>Registo resumido de riscos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134"/>
        <w:gridCol w:w="1134"/>
        <w:gridCol w:w="4762"/>
      </w:tblGrid>
      <w:tr>
        <w:trPr>
          <w:tblHeader w:val="true"/>
        </w:trPr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Risco</w:t>
            </w:r>
          </w:p>
        </w:tc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Prob.</w:t>
            </w:r>
          </w:p>
        </w:tc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Impacto</w:t>
            </w:r>
          </w:p>
        </w:tc>
        <w:tc>
          <w:tcPr>
            <w:tcW w:type="dxa" w:w="2564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Tratamento proposto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Variabilidade de caudal/carga em tempo húmido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Alta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Controlo de aeração/recirculação e ajuste de setpoints; capacidade garantida dentro dos caudais de projeto.</w:t>
            </w:r>
          </w:p>
        </w:tc>
      </w:tr>
      <w:tr>
        <w:tc>
          <w:tcPr>
            <w:tcW w:type="dxa" w:w="2835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Fósforo no meio recetor em condições de baixo caudal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Alta</w:t>
            </w:r>
          </w:p>
        </w:tc>
        <w:tc>
          <w:tcPr>
            <w:tcW w:type="dxa" w:w="4762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Dosagem química dimensionada para VLE. Redução adicional abaixo do VLE pode exigir otimização/reagente extra.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Serviços enterrados não cadastrados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Alta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Levantamento localizado e gestão por preços unitários; trabalhos significativos podem gerar alteração de preço/prazo.</w:t>
            </w:r>
          </w:p>
        </w:tc>
      </w:tr>
      <w:tr>
        <w:tc>
          <w:tcPr>
            <w:tcW w:type="dxa" w:w="2835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Condições geotécnicas diferentes das fornecidas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Adaptação de fundações/escavação mediante instrução e valorização adicional quando aplicável.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Odores em picos de carga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Confinamento das principais fontes e ajuste de ventilação; reforço de tratamento disponível como opção.</w:t>
            </w:r>
          </w:p>
        </w:tc>
      </w:tr>
      <w:tr>
        <w:tc>
          <w:tcPr>
            <w:tcW w:type="dxa" w:w="2835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Atrasos de equipamentos long lead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Encomenda antecipada e equivalentes técnicos; custos de expedite não incluídos salvo decisão do Dono de Obra.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Aperto futuro de requisitos legais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Projeto preparado para upgrades pontuais; alterações de limites após congelamento da base são tratadas como mudança de âmbito.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10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PREÇO E CONDIÇÕES COMERCIAIS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Estrutura económica comparável e condições de pagamento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3"/>
        <w:gridCol w:w="2381"/>
      </w:tblGrid>
      <w:tr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Rubrica</w:t>
            </w:r>
          </w:p>
        </w:tc>
        <w:tc>
          <w:tcPr>
            <w:tcW w:type="dxa" w:w="5128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Preço indicativo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Engenharia, gestão de projeto e suporte a licenciamento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1 050 000 €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Construção civil da ETAR e arranjos exteriores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9 150 000 €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Equipamento de processo e eletromecânico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7 200 000 €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Instalações elétricas, automação e instrumentação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1 650 000 €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Linha de lamas, biogás, cogeração e desodorização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3 000 000 €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Emissário, câmaras, travessias e interligações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5 050 000 €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ApR, fotovoltaico, coberturas verdes e paisagismo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750 000 €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Comissionamento, testes e 6 meses de assistência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950 000 €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Ambiente, H&amp;S e QA/QC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450 000 €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Provisões para pequenas interferências/ajustes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650 000 €</w:t>
            </w:r>
          </w:p>
        </w:tc>
      </w:tr>
      <w:tr>
        <w:tc>
          <w:tcPr>
            <w:tcW w:type="dxa" w:w="7483"/>
            <w:shd w:fill="496A7A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8"/>
              </w:rPr>
              <w:t>TOTAL PROPOSTO (sem IVA)</w:t>
            </w:r>
          </w:p>
        </w:tc>
        <w:tc>
          <w:tcPr>
            <w:tcW w:type="dxa" w:w="2381"/>
            <w:shd w:fill="496A7A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b/>
                <w:color w:val="FFFFFF"/>
                <w:sz w:val="18"/>
              </w:rPr>
              <w:t>29 900 000 €</w:t>
            </w:r>
          </w:p>
        </w:tc>
      </w:tr>
    </w:tbl>
    <w:p>
      <w:pPr>
        <w:pStyle w:val="Heading2"/>
      </w:pPr>
      <w:r>
        <w:t>Condições comerciais propostas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Preço global indicativo: 29 900 000 € + IVA, baseado nas quantidades e condições descritas na documentação de referência e nas exclusões desta proposta.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Pagamentos: 15% adiantamento contra garantia; 10% após aprovação da engenharia principal; 55% por autos mensais; 15% na conclusão mecânica; 5% na receção provisória.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Garantia de boa execução: 10% do preço contratual. Retenção de 5% substituível por garantia bancária.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Penalidade de atraso proposta: 0,03% do preço contratual por dia imputável ao fornecedor, limitada a 5%.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Garantia de desempenho condicionada ao envelope de caudais/cargas e disponibilidade de reagentes, energia e condições de operação. Requisitos acima da base de projeto serão objeto de avaliação técnica e comercial.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Validade comercial: 60 dias. Equipamentos importados e materiais metálicos podem ser revistos caso a adjudicação ocorra após a validade ou se índices de mercado variarem mais de 5%.</w:t>
      </w:r>
    </w:p>
    <w:p>
      <w:pPr>
        <w:pStyle w:val="Heading2"/>
      </w:pPr>
      <w:r>
        <w:t>Notas sobre o preço</w:t>
      </w:r>
    </w:p>
    <w:p>
      <w:pPr>
        <w:jc w:val="both"/>
      </w:pPr>
      <w:r>
        <w:rPr>
          <w:rFonts w:ascii="Carlito" w:hAnsi="Carlito"/>
          <w:sz w:val="18"/>
        </w:rPr>
        <w:t>O preço beneficia de maior padronização, menor número de instrumentos avançados e pressupostos mais firmes sobre informação de base. Interferências significativas, condições de solo/água diferentes das fornecidas, exigências ambientais adicionais ou alterações de limites constituem potenciais variações de contrato. Esta abordagem reduz o preço inicial, mas transfere parte do risco de incerteza para a fase de execução.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496A7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11</w:t>
            </w:r>
          </w:p>
        </w:tc>
        <w:tc>
          <w:tcPr>
            <w:tcW w:type="dxa" w:w="5128"/>
            <w:shd w:fill="EEF3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2C3F49"/>
                <w:sz w:val="27"/>
              </w:rPr>
              <w:t>MATRIZ DE CONFORMIDADE, VALIDADE E FECHO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Resumo final para avaliação comparativa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3005"/>
        <w:gridCol w:w="3912"/>
      </w:tblGrid>
      <w:tr>
        <w:trPr>
          <w:tblHeader w:val="true"/>
        </w:trPr>
        <w:tc>
          <w:tcPr>
            <w:tcW w:type="dxa" w:w="3419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Tema</w:t>
            </w:r>
          </w:p>
        </w:tc>
        <w:tc>
          <w:tcPr>
            <w:tcW w:type="dxa" w:w="3419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Compromisso</w:t>
            </w:r>
          </w:p>
        </w:tc>
        <w:tc>
          <w:tcPr>
            <w:tcW w:type="dxa" w:w="3419"/>
            <w:shd w:fill="2C3F4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Observação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Caudal tempo seco / húmido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Incluído dentro da base de projeto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Verificação hidráulica estática e checks de transientes críticos</w:t>
            </w:r>
          </w:p>
        </w:tc>
      </w:tr>
      <w:tr>
        <w:tc>
          <w:tcPr>
            <w:tcW w:type="dxa" w:w="2948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Remoção N/P</w:t>
            </w:r>
          </w:p>
        </w:tc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Incluída até aos VLE de projeto</w:t>
            </w:r>
          </w:p>
        </w:tc>
        <w:tc>
          <w:tcPr>
            <w:tcW w:type="dxa" w:w="3912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Dosagem e controlo standard, com otimização no arranque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Desinfeção UV / ApR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Incluída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Preparação para usos internos e ponto futuro de entrega</w:t>
            </w:r>
          </w:p>
        </w:tc>
      </w:tr>
      <w:tr>
        <w:tc>
          <w:tcPr>
            <w:tcW w:type="dxa" w:w="2948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Linha de lamas e biogás</w:t>
            </w:r>
          </w:p>
        </w:tc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Incluída</w:t>
            </w:r>
          </w:p>
        </w:tc>
        <w:tc>
          <w:tcPr>
            <w:tcW w:type="dxa" w:w="3912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Segurança e instrumentação de catálogo dos fornecedores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Emissário ~3,74 km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Incluído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Condições desconhecidas tratadas por provisões/alterações</w:t>
            </w:r>
          </w:p>
        </w:tc>
      </w:tr>
      <w:tr>
        <w:tc>
          <w:tcPr>
            <w:tcW w:type="dxa" w:w="2948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Monitorização ambiental</w:t>
            </w:r>
          </w:p>
        </w:tc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Essencial</w:t>
            </w:r>
          </w:p>
        </w:tc>
        <w:tc>
          <w:tcPr>
            <w:tcW w:type="dxa" w:w="3912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Água e ruído; odores adicionais sob necessidade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Apoio pós-arranque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6 meses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Afinação e correção de defeitos de arranque</w:t>
            </w:r>
          </w:p>
        </w:tc>
      </w:tr>
    </w:tbl>
    <w:p>
      <w:pPr>
        <w:pStyle w:val="Heading2"/>
      </w:pPr>
      <w:r>
        <w:t>Validade e condições de utilização</w:t>
      </w:r>
    </w:p>
    <w:p>
      <w:pPr>
        <w:jc w:val="both"/>
      </w:pPr>
      <w:r>
        <w:rPr>
          <w:rFonts w:ascii="Carlito" w:hAnsi="Carlito"/>
          <w:sz w:val="18"/>
        </w:rPr>
        <w:t>A proposta mantém-se válida por 60 dias a contar de 25 de agosto de 2026. A adjudicação real estaria sujeita a clarificação técnica, confirmação do estado do licenciamento, revisão das quantidades, visita ao local, validação de interfaces e assinatura de contrato. A garantia indicada é de 24 meses para equipamentos principais; assistência operacional incluída durante 6 meses após receção provisória.</w:t>
      </w:r>
    </w:p>
    <w:p>
      <w:pPr>
        <w:pStyle w:val="Heading2"/>
      </w:pPr>
      <w:r>
        <w:t>Declaração de natureza fictícia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FF1F0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B3261E"/>
                <w:sz w:val="22"/>
              </w:rPr>
              <w:t>PROPOSTA FICTÍCIA GERADA PARA TESTES — NÃO FORNECIDA PELA SIMBIENTE</w:t>
            </w:r>
          </w:p>
        </w:tc>
      </w:tr>
    </w:tbl>
    <w:p>
      <w:pPr>
        <w:spacing w:before="240"/>
      </w:pPr>
      <w:r>
        <w:rPr>
          <w:rFonts w:ascii="Carlito" w:hAnsi="Carlito"/>
          <w:b/>
          <w:color w:val="2C3F49"/>
          <w:sz w:val="18"/>
        </w:rPr>
        <w:t>Pela equipa comercial fictícia de AmbiFlux Sistemas de Água, S.A.</w:t>
      </w:r>
    </w:p>
    <w:p>
      <w:pPr>
        <w:pStyle w:val="SmallNote"/>
      </w:pPr>
      <w:r>
        <w:rPr>
          <w:rFonts w:ascii="Carlito" w:hAnsi="Carlito"/>
          <w:color w:val="555555"/>
          <w:sz w:val="16"/>
        </w:rPr>
        <w:t>concursos@ambiflux-teste.example | +351 210 000 202 (fictício)</w:t>
      </w:r>
    </w:p>
    <w:p>
      <w:pPr>
        <w:pStyle w:val="SmallNote"/>
      </w:pPr>
      <w:r>
        <w:rPr>
          <w:rFonts w:ascii="Carlito" w:hAnsi="Carlito"/>
          <w:i/>
          <w:color w:val="666666"/>
          <w:sz w:val="16"/>
        </w:rPr>
        <w:t>Documento criado exclusivamente para testes de sistemas de IA, comparação de propostas e revisão de fluxos documentais.</w:t>
      </w:r>
    </w:p>
    <w:sectPr>
      <w:headerReference w:type="default" r:id="rId9"/>
      <w:footerReference w:type="default" r:id="rId10"/>
      <w:pgSz w:w="12240" w:h="15840"/>
      <w:pgMar w:top="879" w:right="992" w:bottom="879" w:left="992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334"/>
      <w:gridCol w:w="1587"/>
    </w:tblGrid>
    <w:tr>
      <w:tc>
        <w:tcPr>
          <w:tcW w:type="dxa" w:w="8334"/>
          <w:tcMar>
            <w:top w:w="40" w:type="dxa"/>
            <w:start w:w="60" w:type="dxa"/>
            <w:bottom w:w="40" w:type="dxa"/>
            <w:end w:w="60" w:type="dxa"/>
          </w:tcMar>
          <w:tcBorders>
            <w:top w:val="single" w:sz="6" w:color="496A7A"/>
          </w:tcBorders>
        </w:tcPr>
        <w:p>
          <w:pPr>
            <w:jc w:val="left"/>
          </w:pPr>
          <w:r>
            <w:rPr>
              <w:rFonts w:ascii="Carlito" w:hAnsi="Carlito"/>
              <w:b/>
              <w:color w:val="B3261E"/>
              <w:sz w:val="14"/>
            </w:rPr>
            <w:t>PROPOSTA FICTÍCIA GERADA PARA TESTES — NÃO FORNECIDA PELA SIMBIENTE</w:t>
          </w:r>
        </w:p>
      </w:tc>
      <w:tc>
        <w:tcPr>
          <w:tcW w:type="dxa" w:w="1587"/>
          <w:tcMar>
            <w:top w:w="40" w:type="dxa"/>
            <w:start w:w="60" w:type="dxa"/>
            <w:bottom w:w="40" w:type="dxa"/>
            <w:end w:w="60" w:type="dxa"/>
          </w:tcMar>
          <w:tcBorders>
            <w:top w:val="single" w:sz="6" w:color="496A7A"/>
          </w:tcBorders>
        </w:tcPr>
        <w:p>
          <w:pPr>
            <w:jc w:val="right"/>
          </w:pPr>
          <w:r>
            <w:rPr>
              <w:rFonts w:ascii="Carlito" w:hAnsi="Carlito"/>
              <w:color w:val="666666"/>
              <w:sz w:val="16"/>
            </w:rPr>
            <w:t xml:space="preserve">Página </w:t>
          </w:r>
          <w:r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6236"/>
      <w:gridCol w:w="3685"/>
    </w:tblGrid>
    <w:tr>
      <w:tc>
        <w:tcPr>
          <w:tcW w:type="dxa" w:w="4961"/>
          <w:tcMar>
            <w:top w:w="40" w:type="dxa"/>
            <w:start w:w="60" w:type="dxa"/>
            <w:bottom w:w="40" w:type="dxa"/>
            <w:end w:w="60" w:type="dxa"/>
          </w:tcMar>
        </w:tcPr>
        <w:p>
          <w:r>
            <w:rPr>
              <w:rFonts w:ascii="Carlito" w:hAnsi="Carlito"/>
              <w:b/>
              <w:color w:val="2C3F49"/>
              <w:sz w:val="16"/>
            </w:rPr>
            <w:t>AMBIFLUX</w:t>
          </w:r>
        </w:p>
      </w:tc>
      <w:tc>
        <w:tcPr>
          <w:tcW w:type="dxa" w:w="4961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right"/>
          </w:pPr>
          <w:r>
            <w:rPr>
              <w:rFonts w:ascii="Carlito" w:hAnsi="Carlito"/>
              <w:color w:val="666666"/>
              <w:sz w:val="15"/>
            </w:rPr>
            <w:t>ETAR DO ESTE — PROPOSTA TÉCNICO-COMERCIAL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7" w:lineRule="auto"/>
      <w:jc w:val="both"/>
    </w:pPr>
    <w:rPr>
      <w:rFonts w:ascii="Carlito" w:hAnsi="Carlito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Carlito" w:hAnsi="Carlito"/>
      <w:b/>
      <w:bCs/>
      <w:color w:val="2C3F4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rlito" w:hAnsi="Carlito"/>
      <w:b/>
      <w:bCs/>
      <w:color w:val="496A7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rlito" w:hAnsi="Carlito"/>
      <w:b/>
      <w:bCs/>
      <w:color w:val="2C3F49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rlito" w:hAnsi="Carlito"/>
      <w:b/>
      <w:color w:val="2C3F4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0" w:lineRule="auto"/>
    </w:pPr>
    <w:rPr>
      <w:rFonts w:ascii="Carlito" w:hAnsi="Carlito"/>
      <w:color w:val="5A5A5A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Técnico-Comercial Fictícia — ETAR do Este — AmbiFlux</dc:title>
  <dc:subject>Documento fictício para testes de IA</dc:subject>
  <dc:creator/>
  <cp:keywords>ETAR Este; proposta fictícia; testes IA; águas residuais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