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17424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left"/>
            </w:pPr>
            <w:r>
              <w:rPr>
                <w:rFonts w:ascii="Carlito" w:hAnsi="Carlito"/>
                <w:b/>
                <w:color w:val="FFFFFF"/>
                <w:sz w:val="30"/>
              </w:rPr>
              <w:t>EcoAqua Engenharia Integrada, Lda.</w:t>
            </w:r>
          </w:p>
          <w:p>
            <w:r>
              <w:rPr>
                <w:rFonts w:ascii="Carlito" w:hAnsi="Carlito"/>
                <w:color w:val="DDEBED"/>
                <w:sz w:val="18"/>
              </w:rPr>
              <w:t>Processo, robustez operacional e conformidade ambiental integrada</w:t>
            </w:r>
          </w:p>
        </w:tc>
      </w:tr>
    </w:tbl>
    <w:p>
      <w:pPr>
        <w:spacing w:after="480"/>
      </w:pPr>
    </w:p>
    <w:p>
      <w:pPr>
        <w:jc w:val="left"/>
      </w:pPr>
      <w:r>
        <w:rPr>
          <w:rFonts w:ascii="Carlito" w:hAnsi="Carlito"/>
          <w:b/>
          <w:color w:val="0B6E75"/>
          <w:sz w:val="24"/>
        </w:rPr>
        <w:t>PROPOSTA TÉCNICO-COMERCIAL</w:t>
      </w:r>
    </w:p>
    <w:p>
      <w:pPr>
        <w:spacing w:after="120"/>
        <w:jc w:val="left"/>
      </w:pPr>
      <w:r>
        <w:rPr>
          <w:rFonts w:ascii="Carlito" w:hAnsi="Carlito"/>
          <w:b/>
          <w:color w:val="17424A"/>
          <w:sz w:val="52"/>
        </w:rPr>
        <w:t>Emissário e Estação de Tratamento</w:t>
        <w:br/>
        <w:t>de Águas Residuais do Este</w:t>
      </w:r>
    </w:p>
    <w:p>
      <w:pPr>
        <w:spacing w:after="440"/>
      </w:pPr>
      <w:r>
        <w:rPr>
          <w:rFonts w:ascii="Carlito" w:hAnsi="Carlito"/>
          <w:color w:val="555555"/>
          <w:sz w:val="22"/>
        </w:rPr>
        <w:t>Braga — Engenharia, construção, fornecimento, comissionamento e assistência inicial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381"/>
        <w:gridCol w:w="7257"/>
      </w:tblGrid>
      <w:tr>
        <w:tc>
          <w:tcPr>
            <w:tcW w:type="dxa" w:w="5128"/>
            <w:shd w:fill="E8F4F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Proposta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EA-ETAR-ESTE-2026-017-FIC</w:t>
            </w:r>
          </w:p>
        </w:tc>
      </w:tr>
      <w:tr>
        <w:tc>
          <w:tcPr>
            <w:tcW w:type="dxa" w:w="5128"/>
            <w:shd w:fill="E8F4F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Data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25 de agosto de 2026</w:t>
            </w:r>
          </w:p>
        </w:tc>
      </w:tr>
      <w:tr>
        <w:tc>
          <w:tcPr>
            <w:tcW w:type="dxa" w:w="5128"/>
            <w:shd w:fill="E8F4F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Validade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90 dias</w:t>
            </w:r>
          </w:p>
        </w:tc>
      </w:tr>
      <w:tr>
        <w:tc>
          <w:tcPr>
            <w:tcW w:type="dxa" w:w="5128"/>
            <w:shd w:fill="E8F4F4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Natureza</w:t>
            </w:r>
          </w:p>
        </w:tc>
        <w:tc>
          <w:tcPr>
            <w:tcW w:type="dxa" w:w="512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Documento fictício exclusivamente para testes de IA / comparação de propostas</w:t>
            </w:r>
          </w:p>
        </w:tc>
      </w:tr>
    </w:tbl>
    <w:p>
      <w:pPr>
        <w:spacing w:after="3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FF1F0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B3261E"/>
                <w:sz w:val="23"/>
              </w:rPr>
              <w:t>PROPOSTA FICTÍCIA GERADA PARA TESTES — NÃO FORNECIDA PELA SIMBIENTE</w:t>
            </w:r>
          </w:p>
        </w:tc>
      </w:tr>
    </w:tbl>
    <w:p>
      <w:pPr>
        <w:spacing w:after="320"/>
      </w:pPr>
    </w:p>
    <w:p>
      <w:r>
        <w:rPr>
          <w:rFonts w:ascii="Carlito" w:hAnsi="Carlito"/>
          <w:b/>
          <w:color w:val="17424A"/>
          <w:sz w:val="18"/>
        </w:rPr>
        <w:t>Fornecedor e contactos fictícios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Rua do Ciclo da Água, 48 — 4705-990 Braga (morada fictícia)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+351 210 000 101 (fictício)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propostas@ecoaqua-teste.example</w:t>
      </w:r>
    </w:p>
    <w:p>
      <w:pPr>
        <w:pStyle w:val="SmallNote"/>
        <w:spacing w:after="20"/>
      </w:pPr>
      <w:r>
        <w:rPr>
          <w:rFonts w:ascii="Carlito" w:hAnsi="Carlito"/>
          <w:color w:val="555555"/>
          <w:sz w:val="16"/>
        </w:rPr>
        <w:t>www.ecoaqua-teste.example</w:t>
      </w:r>
    </w:p>
    <w:p>
      <w:pPr>
        <w:pStyle w:val="SmallNote"/>
        <w:spacing w:before="240"/>
      </w:pPr>
      <w:r>
        <w:rPr>
          <w:rFonts w:ascii="Carlito" w:hAnsi="Carlito"/>
          <w:i/>
          <w:color w:val="777777"/>
          <w:sz w:val="16"/>
        </w:rPr>
        <w:t>Esta proposta não constitui oferta real, orçamento, compromisso contratual nem documento emitido por qualquer entidade identificada nos estudos de referência.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1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RESUMO EXECUTIVO E ENTENDIMENTO DO PROJETO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Síntese da necessidade, base de dimensionamento e posicionamento da solução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EcoAqua apresenta uma solução integrada de engenharia, construção, fornecimento eletromecânico, automação, comissionamento e apoio à exploração inicial da ETAR do Este e do respetivo emissário. A proposta parte dos parâmetros de referência constantes no EIA e estrutura a execução como contrato de desempenho, com margens internas de operação inferiores aos VLE de descarga, redundância N+1 nos principais equipamentos rotativos e uma estratégia de controlo particularmente conservadora para azoto, fósforo, odores e variabilidade de caudal em tempo húmido.</w:t>
      </w:r>
    </w:p>
    <w:p>
      <w:pPr>
        <w:jc w:val="both"/>
      </w:pPr>
      <w:r>
        <w:rPr>
          <w:rFonts w:ascii="Carlito" w:hAnsi="Carlito"/>
          <w:sz w:val="18"/>
        </w:rPr>
        <w:t>A abordagem privilegia a redução de risco de interface entre processo, construção civil, emissário, energia, ApR e condicionantes ambientais. Incluímos verificação geotécnica complementar, modelação hidráulica e processual de validação, revisão HAZOP das áreas de biogás/químicos, FAT/SAT sistemáticos, instrumentação online alargada, plano de monitorização ambiental reforçado e um período de 12 meses de otimização após a receção provisória.</w:t>
      </w:r>
    </w:p>
    <w:p>
      <w:pPr>
        <w:jc w:val="both"/>
      </w:pPr>
      <w:r>
        <w:rPr>
          <w:rFonts w:ascii="Carlito" w:hAnsi="Carlito"/>
          <w:sz w:val="18"/>
        </w:rPr>
        <w:t>O preço é superior ao de uma solução de base porque internaliza contingências que, em contratos mais agressivos, tendem a surgir como trabalhos a mais: conflitos de serviços enterrados, bombagens provisórias, medidas adicionais de controlo de odores, afinações de remoção de fósforo, redundâncias de instrumentação e apoio prolongado ao arranque. O objetivo comercial é oferecer maior previsibilidade do custo final e maior margem para garantir o desempenho ao longo do horizonte do projeto.</w:t>
      </w:r>
    </w:p>
    <w:p>
      <w:pPr>
        <w:pStyle w:val="Heading2"/>
      </w:pPr>
      <w:r>
        <w:t>Base de referência do projeto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803"/>
      </w:tblGrid>
      <w:tr>
        <w:trPr>
          <w:tblHeader w:val="true"/>
        </w:trPr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Parâmetro</w:t>
            </w:r>
          </w:p>
        </w:tc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Base de referência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Localização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Braga, Região Norte — ETAR do Este e emissário associado</w:t>
            </w:r>
          </w:p>
        </w:tc>
      </w:tr>
      <w:tr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Horizonte de projeto</w:t>
            </w:r>
          </w:p>
        </w:tc>
        <w:tc>
          <w:tcPr>
            <w:tcW w:type="dxa" w:w="680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2042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População equivalente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146 426 h.e. de referência, com capacidade de evolução até cerca de 199 485 h.e.</w:t>
            </w:r>
          </w:p>
        </w:tc>
      </w:tr>
      <w:tr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Caudal máximo — tempo seco</w:t>
            </w:r>
          </w:p>
        </w:tc>
        <w:tc>
          <w:tcPr>
            <w:tcW w:type="dxa" w:w="680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20 224 m³/d (condição máxima de tempo seco)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Caudal máximo — tempo húmido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29 325 m³/d (condição máxima de tempo húmido)</w:t>
            </w:r>
          </w:p>
        </w:tc>
      </w:tr>
      <w:tr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Emissário</w:t>
            </w:r>
          </w:p>
        </w:tc>
        <w:tc>
          <w:tcPr>
            <w:tcW w:type="dxa" w:w="680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aprox. 3,74 km</w:t>
            </w:r>
          </w:p>
        </w:tc>
      </w:tr>
      <w:tr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Meio recetor</w:t>
            </w:r>
          </w:p>
        </w:tc>
        <w:tc>
          <w:tcPr>
            <w:tcW w:type="dxa" w:w="680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rio Este, bacia hidrográfica do Ave</w:t>
            </w:r>
          </w:p>
        </w:tc>
      </w:tr>
    </w:tbl>
    <w:p>
      <w:pPr>
        <w:pStyle w:val="SmallNote"/>
      </w:pPr>
      <w:r>
        <w:rPr>
          <w:rFonts w:ascii="Carlito" w:hAnsi="Carlito"/>
          <w:i/>
          <w:color w:val="666666"/>
          <w:sz w:val="16"/>
        </w:rPr>
        <w:t>Nota: os valores acima foram resumidos dos documentos de referência disponibilizados e são usados apenas para construir um cenário de proposta comparável; qualquer contrato real exigiria validação do Projeto de Execução e dos títulos aplicáveis.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2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ÂMBITO DA PROPOSTA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Fronteira técnica, interfaces e principais sistemas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presente proposta considera um modelo de responsabilidade integrada desde a revisão do projeto até à receção provisória. O âmbito foi estruturado para que os dois concorrentes sejam comparáveis no mesmo perímetro físico: ETAR, emissário, sistemas auxiliares, integração ambiental, automação e arranque.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Revisão do Projeto de Execução e elaboração de Basis of Design consolidada, incluindo balanços mássicos, hidráulicos e energéticos.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Engenharia de detalhe civil, estrutural, hidráulica, processo, mecânica, elétrica, instrumentação, automação, SCADA e telecomunicações.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Construção da ETAR, arranjos exteriores, edifícios, vias internas, redes técnicas, integração paisagística e coberturas ajardinadas previstas.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Construção e ensaio do emissário com cerca de 3,74 km, câmaras, interligações e gestão temporária de caudais durante as ligações.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Linha líquida: pré-tratamento, desarenamento/desengorduramento, decantação primária lamelar, tratamento biológico por lamas ativadas em vala de oxidação, remoção biológica de azoto e precipitação química de fósforo, decantação secundária e desinfeção UV.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Linha de lamas: espessamento, digestão anaeróbia aquecida, valorização do biogás por cogeração, desidratação mecânica, estabilização química de contingência e secagem solar.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Sistema de desodorização com captação nas fontes de maior carga odorífera, ventilação dedicada e capacidade de reserva nos ventiladores críticos.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Infraestrutura de ApR para usos internos e preparação para eventual fornecimento futuro a terceiros, incluindo pontos de monitorização e segregação hidráulica.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Sistema fotovoltaico em autoconsumo, medição energética por centros de consumo e integração dos dados no SCADA.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Comissionamento a seco e húmido, testes de desempenho, formação, documentação as-built, stock inicial de sobressalentes críticos e assistência de processo por 12 meses.</w:t>
      </w:r>
    </w:p>
    <w:p>
      <w:pPr>
        <w:pStyle w:val="Heading2"/>
      </w:pPr>
      <w:r>
        <w:t>Fronteiras e interfaces principais</w:t>
      </w:r>
    </w:p>
    <w:p>
      <w:pPr>
        <w:jc w:val="both"/>
      </w:pPr>
      <w:r>
        <w:rPr>
          <w:rFonts w:ascii="Carlito" w:hAnsi="Carlito"/>
          <w:sz w:val="18"/>
        </w:rPr>
        <w:t>A interface a montante é a câmara/rede de onde os caudais são encaminhados para o novo emissário; a jusante inclui a descarga de efluente tratado no rio Este e os pontos internos/externos preparados para ApR. A alimentação elétrica é considerada no ponto de entrega da instalação e as telecomunicações de supervisão são integradas na arquitetura OT local. Todas as ligações ao sistema existente são programadas em janelas operacionais acordadas com a entidade gestora.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3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METODOLOGIA E SOLUÇÃO TÉCNICA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Como a proposta transforma o Projeto de Execução numa instalação operacional</w:t>
            </w:r>
          </w:p>
        </w:tc>
      </w:tr>
    </w:tbl>
    <w:p>
      <w:pPr>
        <w:spacing w:after="20"/>
      </w:pPr>
    </w:p>
    <w:p>
      <w:pPr>
        <w:spacing w:after="80"/>
      </w:pPr>
      <w:r>
        <w:rPr>
          <w:rFonts w:ascii="Carlito" w:hAnsi="Carlito"/>
          <w:b/>
          <w:color w:val="17424A"/>
          <w:sz w:val="18"/>
        </w:rPr>
        <w:t xml:space="preserve">1. Validação e gestão de requisitos — </w:t>
      </w:r>
      <w:r>
        <w:rPr>
          <w:rFonts w:ascii="Carlito" w:hAnsi="Carlito"/>
          <w:sz w:val="18"/>
        </w:rPr>
        <w:t>Consolidação das condições de projeto, requisitos de descarga, condicionantes ambientais e interfaces. Workshops de requisitos nas semanas 2 e 6 e matriz de rastreabilidade requisito–desenho–teste.</w:t>
      </w:r>
    </w:p>
    <w:p>
      <w:pPr>
        <w:spacing w:after="80"/>
      </w:pPr>
      <w:r>
        <w:rPr>
          <w:rFonts w:ascii="Carlito" w:hAnsi="Carlito"/>
          <w:b/>
          <w:color w:val="17424A"/>
          <w:sz w:val="18"/>
        </w:rPr>
        <w:t xml:space="preserve">2. Engenharia de detalhe com verificação independente — </w:t>
      </w:r>
      <w:r>
        <w:rPr>
          <w:rFonts w:ascii="Carlito" w:hAnsi="Carlito"/>
          <w:sz w:val="18"/>
        </w:rPr>
        <w:t>Modelo de coordenação 3D/BIM para edifícios e órgãos principais, revisão cruzada das disciplinas, análise de interferências e verificação independente de estruturas, hidráulica de perfis críticos e capacidade de aeração.</w:t>
      </w:r>
    </w:p>
    <w:p>
      <w:pPr>
        <w:spacing w:after="80"/>
      </w:pPr>
      <w:r>
        <w:rPr>
          <w:rFonts w:ascii="Carlito" w:hAnsi="Carlito"/>
          <w:b/>
          <w:color w:val="17424A"/>
          <w:sz w:val="18"/>
        </w:rPr>
        <w:t xml:space="preserve">3. Construção por frentes paralelas controladas — </w:t>
      </w:r>
      <w:r>
        <w:rPr>
          <w:rFonts w:ascii="Carlito" w:hAnsi="Carlito"/>
          <w:sz w:val="18"/>
        </w:rPr>
        <w:t>ETAR e emissário avançam em paralelo, com gates de libertação de projeto, planos de inspeção e ensaio (ITP), controlo topográfico e plano de gestão de interfaces com serviços existentes e circulação local.</w:t>
      </w:r>
    </w:p>
    <w:p>
      <w:pPr>
        <w:spacing w:after="80"/>
      </w:pPr>
      <w:r>
        <w:rPr>
          <w:rFonts w:ascii="Carlito" w:hAnsi="Carlito"/>
          <w:b/>
          <w:color w:val="17424A"/>
          <w:sz w:val="18"/>
        </w:rPr>
        <w:t xml:space="preserve">4. Segurança de processo e continuidade — </w:t>
      </w:r>
      <w:r>
        <w:rPr>
          <w:rFonts w:ascii="Carlito" w:hAnsi="Carlito"/>
          <w:sz w:val="18"/>
        </w:rPr>
        <w:t>HAZOP focado em biogás, reagentes, UV, energia e by-pass; classificação ATEX onde aplicável; gerador de emergência dimensionado para cargas essenciais e lógica de degradação segura em falha de equipamentos.</w:t>
      </w:r>
    </w:p>
    <w:p>
      <w:pPr>
        <w:spacing w:after="80"/>
      </w:pPr>
      <w:r>
        <w:rPr>
          <w:rFonts w:ascii="Carlito" w:hAnsi="Carlito"/>
          <w:b/>
          <w:color w:val="17424A"/>
          <w:sz w:val="18"/>
        </w:rPr>
        <w:t xml:space="preserve">5. Comissionamento orientado a desempenho — </w:t>
      </w:r>
      <w:r>
        <w:rPr>
          <w:rFonts w:ascii="Carlito" w:hAnsi="Carlito"/>
          <w:sz w:val="18"/>
        </w:rPr>
        <w:t>FAT para equipamentos e quadros críticos; SAT, loop checks, testes funcionais e wet commissioning; campanha de estabilização biológica; teste de desempenho de 30 dias após demonstração de estabilidade.</w:t>
      </w:r>
    </w:p>
    <w:p>
      <w:pPr>
        <w:spacing w:after="80"/>
      </w:pPr>
      <w:r>
        <w:rPr>
          <w:rFonts w:ascii="Carlito" w:hAnsi="Carlito"/>
          <w:b/>
          <w:color w:val="17424A"/>
          <w:sz w:val="18"/>
        </w:rPr>
        <w:t xml:space="preserve">6. Transferência para exploração — </w:t>
      </w:r>
      <w:r>
        <w:rPr>
          <w:rFonts w:ascii="Carlito" w:hAnsi="Carlito"/>
          <w:sz w:val="18"/>
        </w:rPr>
        <w:t>Formação por função, SOP operacionais, planos de manutenção, parametrização de alarmes, asset register e rotina de otimização de energia/químicos durante 12 meses.</w:t>
      </w:r>
    </w:p>
    <w:p>
      <w:pPr>
        <w:pStyle w:val="Heading2"/>
      </w:pPr>
      <w:r>
        <w:t>Critérios de desempenho de referência</w:t>
      </w:r>
    </w:p>
    <w:p>
      <w:pPr>
        <w:jc w:val="both"/>
      </w:pPr>
      <w:r>
        <w:rPr>
          <w:rFonts w:ascii="Carlito" w:hAnsi="Carlito"/>
          <w:sz w:val="18"/>
        </w:rPr>
        <w:t>A linha de tratamento será afinada para garantir, dentro do envelope contratual de afluente, os valores-limite definidos na documentação de referência. A proposta não altera os VLE; quando indicado, utiliza metas internas de operação mais exigentes para criar margem de segurança.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6123"/>
      </w:tblGrid>
      <w:tr>
        <w:trPr>
          <w:tblHeader w:val="true"/>
        </w:trPr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Parâmetro</w:t>
            </w:r>
          </w:p>
        </w:tc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7"/>
              </w:rPr>
              <w:t>Base de referência</w:t>
            </w:r>
          </w:p>
        </w:tc>
      </w:tr>
      <w:tr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CQO</w:t>
            </w:r>
          </w:p>
        </w:tc>
        <w:tc>
          <w:tcPr>
            <w:tcW w:type="dxa" w:w="612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75 mg O₂/L</w:t>
            </w:r>
          </w:p>
        </w:tc>
      </w:tr>
      <w:tr>
        <w:tc>
          <w:tcPr>
            <w:tcW w:type="dxa" w:w="368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CBO₅</w:t>
            </w:r>
          </w:p>
        </w:tc>
        <w:tc>
          <w:tcPr>
            <w:tcW w:type="dxa" w:w="612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15 mg O₂/L</w:t>
            </w:r>
          </w:p>
        </w:tc>
      </w:tr>
      <w:tr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SST</w:t>
            </w:r>
          </w:p>
        </w:tc>
        <w:tc>
          <w:tcPr>
            <w:tcW w:type="dxa" w:w="612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30 mg/L</w:t>
            </w:r>
          </w:p>
        </w:tc>
      </w:tr>
      <w:tr>
        <w:tc>
          <w:tcPr>
            <w:tcW w:type="dxa" w:w="368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Azoto total</w:t>
            </w:r>
          </w:p>
        </w:tc>
        <w:tc>
          <w:tcPr>
            <w:tcW w:type="dxa" w:w="612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10 mg/L</w:t>
            </w:r>
          </w:p>
        </w:tc>
      </w:tr>
      <w:tr>
        <w:tc>
          <w:tcPr>
            <w:tcW w:type="dxa" w:w="368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Fósforo total</w:t>
            </w:r>
          </w:p>
        </w:tc>
        <w:tc>
          <w:tcPr>
            <w:tcW w:type="dxa" w:w="612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3 mg/L no estio / 5 mg/L no período normal</w:t>
            </w:r>
          </w:p>
        </w:tc>
      </w:tr>
      <w:tr>
        <w:tc>
          <w:tcPr>
            <w:tcW w:type="dxa" w:w="368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Coliformes fecais</w:t>
            </w:r>
          </w:p>
        </w:tc>
        <w:tc>
          <w:tcPr>
            <w:tcW w:type="dxa" w:w="612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7"/>
              </w:rPr>
              <w:t>1 000 NMP/100 mL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4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EQUIPA, GOVERNAÇÃO E CONTROLO DE QUALIDADE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Estrutura de decisão, perfis e rotinas de execução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organização proposta separa decisão contratual, engenharia, construção e comissionamento, mantendo um único Diretor de Projeto como ponto de responsabilidade. Todos os nomes e perfis abaixo são fictícios e existem apenas para tornar o documento de teste realista.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928"/>
        <w:gridCol w:w="4422"/>
        <w:gridCol w:w="907"/>
      </w:tblGrid>
      <w:tr>
        <w:trPr>
          <w:tblHeader w:val="true"/>
        </w:trPr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Função</w:t>
            </w:r>
          </w:p>
        </w:tc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Perfil fictício</w:t>
            </w:r>
          </w:p>
        </w:tc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Responsabilidade principal</w:t>
            </w:r>
          </w:p>
        </w:tc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Dedicação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Diretora de Projeto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Eng.ª Marta Vilarim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Coordenação global, contrato, interfaces e reporting executivo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0,8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Responsável de Processo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Rui Cândaro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Dimensionamento, garantias de processo, arranque e otimização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1,0 FTE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Coordenação Civil/Estruturas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Eng.ª Inês Farelho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Órgãos, edifícios, fundações e arranjos exteriores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1,0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Responsável Emissário/Hidráulica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Diogo Malver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Perfis hidráulicos, câmaras, ligações e ensaios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0,8 FTE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Eletrotecnia e Energia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Tomás Ardel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MT/BT, cogeração, FV, gerador, seletividade e energia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0,8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Automação/SCADA/OT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Eng.ª Leonor Pradal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PLC/SCADA, redes OT, instrumentação e cibersegurança industrial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0,8 FTE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Ambiente e Licenciamento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Dra. Clara Noval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Matriz legal, condicionantes AIA, monitorização e interface documental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0,6 FTE</w:t>
            </w:r>
          </w:p>
        </w:tc>
      </w:tr>
      <w:tr>
        <w:tc>
          <w:tcPr>
            <w:tcW w:type="dxa" w:w="226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Qualidade e Comissionamento</w:t>
            </w:r>
          </w:p>
        </w:tc>
        <w:tc>
          <w:tcPr>
            <w:tcW w:type="dxa" w:w="1928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 Nuno Vésper</w:t>
            </w:r>
          </w:p>
        </w:tc>
        <w:tc>
          <w:tcPr>
            <w:tcW w:type="dxa" w:w="4422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ITP, FAT/SAT, punch list, testes de desempenho</w:t>
            </w:r>
          </w:p>
        </w:tc>
        <w:tc>
          <w:tcPr>
            <w:tcW w:type="dxa" w:w="907"/>
            <w:shd w:fill="F6F8F9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0,8 FTE</w:t>
            </w:r>
          </w:p>
        </w:tc>
      </w:tr>
      <w:tr>
        <w:tc>
          <w:tcPr>
            <w:tcW w:type="dxa" w:w="226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Segurança e Obra</w:t>
            </w:r>
          </w:p>
        </w:tc>
        <w:tc>
          <w:tcPr>
            <w:tcW w:type="dxa" w:w="1928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Eng.ª Eva Cordel</w:t>
            </w:r>
          </w:p>
        </w:tc>
        <w:tc>
          <w:tcPr>
            <w:tcW w:type="dxa" w:w="4422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Coordenação H&amp;S de empreiteiro, planos de trabalho e auditorias</w:t>
            </w:r>
          </w:p>
        </w:tc>
        <w:tc>
          <w:tcPr>
            <w:tcW w:type="dxa" w:w="907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r>
              <w:rPr>
                <w:rFonts w:ascii="Carlito" w:hAnsi="Carlito"/>
                <w:sz w:val="15"/>
              </w:rPr>
              <w:t>1,0 FTE</w:t>
            </w:r>
          </w:p>
        </w:tc>
      </w:tr>
    </w:tbl>
    <w:p>
      <w:pPr>
        <w:pStyle w:val="Heading2"/>
      </w:pPr>
      <w:r>
        <w:t>Governação e reporting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Reunião semanal de obra e engenharia com look-ahead de 6 semanas; reunião mensal de direção com custo, prazo, H&amp;S, ambiente, qualidade e riscos.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Registo único de RFI/submittals, matriz de interfaces, decisão formal de mudanças e dashboard de ações pendentes.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Gates: 30/60/90% engenharia, autorização de betão por órgão, mechanical completion, energização, ready-for-wet, ready-for-performance-test e receção provisória.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Auditorias internas de qualidade e ambiente em periodicidade definida, com NCR, causa-raiz e fecho verificável.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5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CRONOGRAMA DE EXECUÇÃO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Planeamento indicativo até receção provisória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duração contratual proposta é de 30 meses até receção provisória + 12 meses de assistência e otimização pós-arranque. O cronograma assume frentes simultâneas na ETAR e no emissário e encomenda antecipada de equipamentos de maior prazo de fabrico.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8334"/>
      </w:tblGrid>
      <w:tr>
        <w:trPr>
          <w:tblHeader w:val="true"/>
        </w:trPr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Período</w:t>
            </w:r>
          </w:p>
        </w:tc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Atividades principais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M0–M2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Mobilização, levantamento de interfaces, campanha geotécnica complementar, revisão de dados e plano de licenciamento.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M1–M6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Engenharia de detalhe, modelação de processo/hidráulica, compras de long lead items e aprovações técnicas.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M3–M22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Construção civil da ETAR, edifícios, órgãos, redes enterradas e arranjos exteriores.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M3–M23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Execução do emissário, câmaras, travessias, ensaios e ligações programadas.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M8–M25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Montagem eletromecânica, elétrica, instrumentação, desodorização, linha de lamas, biogás e FV.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M20–M27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Pré-comissionamento, energização, FAT/SAT finais, limpeza, testes de estanquidade e comissionamento a seco.</w:t>
            </w:r>
          </w:p>
        </w:tc>
      </w:tr>
      <w:tr>
        <w:tc>
          <w:tcPr>
            <w:tcW w:type="dxa" w:w="15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M24–M29</w:t>
            </w:r>
          </w:p>
        </w:tc>
        <w:tc>
          <w:tcPr>
            <w:tcW w:type="dxa" w:w="833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Wet commissioning, inoculação/estabilização, afinação de azoto/fósforo/UV e testes de performance.</w:t>
            </w:r>
          </w:p>
        </w:tc>
      </w:tr>
      <w:tr>
        <w:tc>
          <w:tcPr>
            <w:tcW w:type="dxa" w:w="153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17424A"/>
                <w:sz w:val="17"/>
              </w:rPr>
              <w:t>M30</w:t>
            </w:r>
          </w:p>
        </w:tc>
        <w:tc>
          <w:tcPr>
            <w:tcW w:type="dxa" w:w="8334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 w:val="0"/>
                <w:sz w:val="17"/>
              </w:rPr>
              <w:t>Receção provisória, dossier final e início de 12 meses de apoio à otimização.</w:t>
            </w:r>
          </w:p>
        </w:tc>
      </w:tr>
    </w:tbl>
    <w:p>
      <w:pPr>
        <w:pStyle w:val="Heading2"/>
      </w:pPr>
      <w:r>
        <w:t>Marcos contratuais propostos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 — fecho da Basis of Design / base de projeto e matriz de clarificações;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M6 (EcoAqua) / M5 (AmbiFlux) — emissão principal de engenharia para construção;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M23 ±1 — emissário substancialmente concluído e ensaiado;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M25 ±1 — conclusão mecânica dos principais sistemas;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M29/M26 — estabilidade de processo para início de testes de desempenho;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M30/M27 — receção provisória, sujeita ao fecho dos itens de punch list de classe A.</w:t>
      </w:r>
    </w:p>
    <w:p>
      <w:pPr>
        <w:pStyle w:val="SmallNote"/>
      </w:pPr>
      <w:r>
        <w:rPr>
          <w:rFonts w:ascii="Carlito" w:hAnsi="Carlito"/>
          <w:i/>
          <w:color w:val="666666"/>
          <w:sz w:val="16"/>
        </w:rPr>
        <w:t>Os marcos com duas referências de mês refletem a diferença de programa entre as duas propostas e são mantidos no documento para facilitar a comparação de testes; prevalece a linha temporal específica da presente proposta.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6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ENTREGÁVEIS E DOCUMENTAÇÃO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Dossier de engenharia, construção, comissionamento e entrega</w:t>
            </w:r>
          </w:p>
        </w:tc>
      </w:tr>
    </w:tbl>
    <w:p>
      <w:pPr>
        <w:spacing w:after="20"/>
      </w:pP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Basis of Design consolidada e matriz de requisitos/condicionantes.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Memórias de cálculo hidráulicas, processuais, estruturais e energéticas.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P&amp;ID, layouts, listas de equipamentos, fichas técnicas, folhas de dados e especificações de compra.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Modelo 3D/BIM de coordenação e desenhos IFC/as-built dos órgãos principais.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Diagramas unifilares, estudos de seletividade, listas de I/O, filosofia de controlo, matriz de alarmes e arquitetura de rede OT.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Plano de Gestão Ambiental de Obra, plano de resíduos/RCD, plano de emergência ambiental e planos de monitorização.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HAZOP/What-if, dossiers ATEX aplicáveis e matriz de ações de segurança de processo.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ITP, dossiers FAT/SAT, certificados de materiais/equipamentos e registos de ensaio.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Planos de comissionamento, SOP, manuais O&amp;M, plano de manutenção preventiva e lista de sobressalentes.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Asset register em formato aberto, lista de tags, setpoints finais, backups PLC/SCADA e dossier as-built.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Relatório de testes de desempenho, relatório de estabilização e quatro relatórios trimestrais de otimização pós-arranque.</w:t>
      </w:r>
    </w:p>
    <w:p>
      <w:pPr>
        <w:pStyle w:val="Heading2"/>
      </w:pPr>
      <w:r>
        <w:t>Formato e controlo documental</w:t>
      </w:r>
    </w:p>
    <w:p>
      <w:pPr>
        <w:jc w:val="both"/>
      </w:pPr>
      <w:r>
        <w:rPr>
          <w:rFonts w:ascii="Carlito" w:hAnsi="Carlito"/>
          <w:sz w:val="18"/>
        </w:rPr>
        <w:t>Os documentos serão fornecidos em PDF e formatos editáveis adequados à disciplina (DWG/IFC/XLSX/CSV e ficheiros nativos de automação quando aplicável). O dossier as-built incluirá um registo de ativos com tag, fabricante, modelo, número de série, data de instalação, plano de manutenção e ligação ao manual correspondente. O controlo documental usa revisão, estado, transmittal e rastreabilidade de aprovação.</w:t>
      </w:r>
    </w:p>
    <w:p>
      <w:pPr>
        <w:pStyle w:val="Heading2"/>
      </w:pPr>
      <w:r>
        <w:t>Documentação de referência consultada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1a_RNT_EIA_etar-este_v25ago23.pdf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2_RS_EIA_etar-este_v04mai23.pdf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4_PDesenhadas_EIA_etar-este_v04mai23.pdf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5_Elementos_adicionais_EIA_etar-este_v25ago23_AGERE.pdf</w:t>
      </w:r>
    </w:p>
    <w:p>
      <w:pPr>
        <w:pStyle w:val="SmallNote"/>
      </w:pPr>
      <w:r>
        <w:rPr>
          <w:rFonts w:ascii="Carlito" w:hAnsi="Carlito"/>
          <w:i/>
          <w:color w:val="666666"/>
          <w:sz w:val="16"/>
        </w:rPr>
        <w:t>O conteúdo das propostas é uma síntese original criada para teste. Não são reproduzidas passagens extensas dos documentos de referência.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7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LICENCIAMENTO E CONFORMIDADE AMBIENTAL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Responsabilidades, matriz legal e condicionantes</w:t>
            </w:r>
          </w:p>
        </w:tc>
      </w:tr>
    </w:tbl>
    <w:p>
      <w:pPr>
        <w:spacing w:after="20"/>
      </w:pPr>
    </w:p>
    <w:p>
      <w:pPr>
        <w:jc w:val="both"/>
      </w:pPr>
      <w:r>
        <w:rPr>
          <w:rFonts w:ascii="Carlito" w:hAnsi="Carlito"/>
          <w:sz w:val="18"/>
        </w:rPr>
        <w:t>A execução será conduzida em coerência com o processo de AIA e com os títulos aplicáveis à descarga, utilização de recursos hídricos, produção de ApR e gestão de resíduos. A lista seguinte é uma base técnica de conformidade e não substitui uma revisão jurídica/administrativa na data de adjudicação.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Regime jurídico de Avaliação de Impacte Ambiental — Decreto-Lei n.º 151-B/2013, na redação em vigor, e decisão/condicionantes aplicáveis ao projeto.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Tratamento de águas residuais urbanas — Decreto-Lei n.º 152/97, na redação em vigor, sem prejuízo da futura transposição nacional da Diretiva (UE) 2024/3019.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Utilização dos recursos hídricos e descarga — títulos/licenças aplicáveis ao abrigo da Lei da Água e do regime de utilização dos recursos hídricos, conforme instrução da APA.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Produção e utilização de Água para Reutilização (ApR) — Decreto-Lei n.º 119/2019, na redação em vigor, incluindo avaliação de risco e licenciamento quando exista utilização externa.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Regime Geral de Gestão de Resíduos e resíduos de construção e demolição — Decreto-Lei n.º 102-D/2020, na redação em vigor.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Regulamento Geral do Ruído — Decreto-Lei n.º 9/2007, na redação em vigor.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Proteção de espécies arbóreas legalmente protegidas, condicionantes de REN/PDM e demais servidões/restrições identificadas no processo de AIA.</w:t>
      </w:r>
    </w:p>
    <w:p>
      <w:pPr>
        <w:pStyle w:val="Heading2"/>
      </w:pPr>
      <w:r>
        <w:t>Condicionantes de projeto com tratamento específico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Proteção e gestão de exemplares arbóreos legalmente protegidos identificados na área/proximidade do projeto, com piquetagem prévia, zonas de exclusão e autorizações quando aplicáveis.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Gestão de solos, escavações, águas de obra e risco de erosão junto às linhas de água; separação de águas limpas/contaminadas e resposta a derrames.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Compatibilização com PDM, REN, servidões, acessos e travessias; restituição de terrenos e integração paisagística após obra.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Controlo de ruído, poeiras, tráfego de obra, resíduos/RCD e comunicação com recetores sensíveis.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Segregação e rastreabilidade do circuito de ApR, com futura avaliação de risco/licenciamento antes de cedência a utilizadores externos.</w:t>
      </w:r>
    </w:p>
    <w:p>
      <w:pPr>
        <w:jc w:val="both"/>
      </w:pPr>
      <w:r>
        <w:rPr>
          <w:rFonts w:ascii="Carlito" w:hAnsi="Carlito"/>
          <w:sz w:val="18"/>
        </w:rPr>
        <w:t>A EcoAqua inclui um Compliance Register vivo, com responsável, evidência, data de cumprimento e ligação aos ITP/planos de obra. O acompanhamento ambiental integra inspeção semanal durante as fases de maior movimentação de terras e verificação formal antes de abertura de novas frentes sensíveis.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8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MONITORIZAÇÃO, CONTROLO E GARANTIAS DE DESEMPENHO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Instrumentação, amostragem e verificação da exploração</w:t>
            </w:r>
          </w:p>
        </w:tc>
      </w:tr>
    </w:tbl>
    <w:p>
      <w:pPr>
        <w:spacing w:after="20"/>
      </w:pP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Medição contínua de caudal afluente/efluente, pH, condutividade, turbidez e UV; medição online de NH₄-N, NO₃-N e ortofosfato em pontos críticos, com redundância nos analisadores de saída.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Amostradores automáticos compostos à entrada, após tratamento primário e na descarga final; plano laboratorial com CQO, CBO₅, SST, nutrientes, microbiologia e parâmetros adicionais de controlo operacional.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Monitorização do rio Este a montante e jusante com campanha sazonal reforçada no primeiro ano de exploração e revisão adaptativa da frequência conforme resultados e exigências da autoridade.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Campanhas de ruído no comissionamento e após estabilização, acrescidas de verificação em recetores sensíveis sempre que existam alterações relevantes de equipamento.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Programa de odores: pressão/depressão em edifícios confinados, performance da desodorização, sulfureto de hidrogénio em pontos de processo e campanhas olfatométricas/dispersionais se houver reclamações persistentes.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KPI de energia, produção/consumo de biogás, autoconsumo FV, consumo específico kWh/m³, reagente de fósforo, produção de lamas e eficiência de desidratação.</w:t>
      </w:r>
    </w:p>
    <w:p>
      <w:pPr>
        <w:pStyle w:val="ListBullet"/>
        <w:spacing w:after="70" w:line="247" w:lineRule="auto"/>
      </w:pPr>
      <w:r>
        <w:rPr>
          <w:rFonts w:ascii="Carlito" w:hAnsi="Carlito"/>
          <w:sz w:val="18"/>
        </w:rPr>
        <w:t>Relatórios internos trimestrais de conformidade ambiental e relatório anual consolidado para suporte às obrigações de pós-avaliação/licenciamento.</w:t>
      </w:r>
    </w:p>
    <w:p>
      <w:pPr>
        <w:pStyle w:val="Heading2"/>
      </w:pPr>
      <w:r>
        <w:t>Garantia de processo</w:t>
      </w:r>
    </w:p>
    <w:p>
      <w:pPr>
        <w:jc w:val="both"/>
      </w:pPr>
      <w:r>
        <w:rPr>
          <w:rFonts w:ascii="Carlito" w:hAnsi="Carlito"/>
          <w:sz w:val="18"/>
        </w:rPr>
        <w:t>A garantia de processo cobre a capacidade de tratamento e o cumprimento dos VLE da documentação de referência, desde que as cargas e características do afluente se mantenham dentro do envelope contratual e os consumíveis/energia estejam disponíveis. Para operação normal, são adotadas metas internas orientativas de CQO ≤ 60 mg/L, CBO₅ ≤ 12 mg/L, SST ≤ 20 mg/L, N total ≤ 8 mg/L e fósforo com margem operacional abaixo do limite sazonal, sujeitas a validação durante o arranque. Estas metas são de controlo e não alteram a licença.</w:t>
      </w:r>
    </w:p>
    <w:p>
      <w:pPr>
        <w:jc w:val="both"/>
      </w:pPr>
      <w:r>
        <w:rPr>
          <w:rFonts w:ascii="Carlito" w:hAnsi="Carlito"/>
          <w:sz w:val="18"/>
        </w:rPr>
        <w:t>O teste de desempenho é proposto por 30 dias, após um período de estabilidade acordado, com validação por laboratório acreditado nos parâmetros regulamentares e registo contínuo dos KPI de processo. Desvios atribuíveis ao fornecimento serão corrigidos e o teste repetido sem custo adicional, dentro dos limites de responsabilidade contratual.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9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PRESSUPOSTOS, EXCLUSÕES E RISCOS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O que está assumido e onde pode existir variação de preço/prazo</w:t>
            </w:r>
          </w:p>
        </w:tc>
      </w:tr>
    </w:tbl>
    <w:p>
      <w:pPr>
        <w:spacing w:after="20"/>
      </w:pPr>
    </w:p>
    <w:p>
      <w:pPr>
        <w:pStyle w:val="Heading2"/>
      </w:pPr>
      <w:r>
        <w:t>Pressupostos principais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Disponibilidade da faixa de implantação e acessos principais nas datas do cronograma, sem necessidade de aquisição fundiária pelo empreiteiro.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Características médias e máximas do afluente dentro do envelope de cargas definido no Projeto de Execução/EIA, admitindo episódios transitórios normais de tempo húmido.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Ponto de entrega de energia elétrica e potência contratável compatíveis com o projeto de alimentação; reforços de rede pública a montante do ponto de entrega não estão incluídos.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Materiais de escavação sem classificação de resíduo perigoso em volumes anormais; a proposta inclui uma verba de risco para ocorrências pontuais, sujeita a medição.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Possibilidade de executar ligações e testes do emissário em janelas operacionais coordenadas com a entidade gestora.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Condições de licenciamento de base compatíveis com a solução do EIA; alterações legais ou novas imposições materialmente diferentes após a data da proposta serão tratadas por mecanismo de alteração.</w:t>
      </w:r>
    </w:p>
    <w:p>
      <w:pPr>
        <w:pStyle w:val="Heading2"/>
      </w:pPr>
      <w:r>
        <w:t>Exclusões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Aquisição/expropriação de terrenos, indemnizações a terceiros e taxas administrativas cobradas diretamente por entidades licenciadoras.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Reforços estruturais ou hidráulicos em redes municipais fora dos limites físicos do projeto, exceto as interfaces explicitamente identificadas.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Remediação extensiva de solos contaminados ou achados arqueológicos que determinem suspensão prolongada; inclui-se apenas a gestão de ocorrência e uma provisão limitada.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Fornecimento de rede externa de distribuição de ApR a utilizadores finais para além do ponto de entrega previsto; a infraestrutura fica preparada para futura ligação.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Operação integral da instalação após o período de assistência de 12 meses.</w:t>
      </w:r>
    </w:p>
    <w:p>
      <w:pPr>
        <w:pStyle w:val="Heading2"/>
      </w:pPr>
      <w:r>
        <w:t>Registo resumido de riscos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1134"/>
        <w:gridCol w:w="1134"/>
        <w:gridCol w:w="4762"/>
      </w:tblGrid>
      <w:tr>
        <w:trPr>
          <w:tblHeader w:val="true"/>
        </w:trPr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Risco</w:t>
            </w:r>
          </w:p>
        </w:tc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Prob.</w:t>
            </w:r>
          </w:p>
        </w:tc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Impacto</w:t>
            </w:r>
          </w:p>
        </w:tc>
        <w:tc>
          <w:tcPr>
            <w:tcW w:type="dxa" w:w="2564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5"/>
              </w:rPr>
              <w:t>Tratamento proposto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Variabilidade de caudal/carga em tempo húmido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Alta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Margem hidráulica, controlo por níveis, verificação da repartição de caudais e tuning de aeração/recirculações.</w:t>
            </w:r>
          </w:p>
        </w:tc>
      </w:tr>
      <w:tr>
        <w:tc>
          <w:tcPr>
            <w:tcW w:type="dxa" w:w="2835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Fósforo no meio recetor em períodos de menor caudal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Alta</w:t>
            </w:r>
          </w:p>
        </w:tc>
        <w:tc>
          <w:tcPr>
            <w:tcW w:type="dxa" w:w="4762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Setpoint interno de fósforo abaixo do VLE, dupla dosagem possível e monitorização adaptativa do rio.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Interferências com serviços enterrados no emissário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Alta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GPR/validação de cadastros, sondagens de reconhecimento e verba de contingência incluída.</w:t>
            </w:r>
          </w:p>
        </w:tc>
      </w:tr>
      <w:tr>
        <w:tc>
          <w:tcPr>
            <w:tcW w:type="dxa" w:w="2835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Odores durante exploração/arranque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Confinamento, desodorização dimensionada com reserva, H₂S online e plano de resposta a reclamações.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Falha de equipamento crítico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Baixa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Alta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Redundância N+1, stock de sobressalentes críticos, bypass de manutenção e gerador de emergência.</w:t>
            </w:r>
          </w:p>
        </w:tc>
      </w:tr>
      <w:tr>
        <w:tc>
          <w:tcPr>
            <w:tcW w:type="dxa" w:w="2835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Atrasos de licenciamento ou condicionantes adicionais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shd w:fill="F6F8F9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Matriz de licenças, submissões antecipadas, reuniões de interface e float específico no cronograma.</w:t>
            </w:r>
          </w:p>
        </w:tc>
      </w:tr>
      <w:tr>
        <w:tc>
          <w:tcPr>
            <w:tcW w:type="dxa" w:w="2835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Escassez/variação de preço de equipamentos long lead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1134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sz w:val="15"/>
              </w:rPr>
              <w:t>Média</w:t>
            </w:r>
          </w:p>
        </w:tc>
        <w:tc>
          <w:tcPr>
            <w:tcW w:type="dxa" w:w="4762"/>
            <w:tcMar>
              <w:top w:w="55" w:type="dxa"/>
              <w:start w:w="55" w:type="dxa"/>
              <w:bottom w:w="55" w:type="dxa"/>
              <w:end w:w="55" w:type="dxa"/>
            </w:tcMar>
          </w:tcPr>
          <w:p>
            <w:r>
              <w:rPr>
                <w:rFonts w:ascii="Carlito" w:hAnsi="Carlito"/>
                <w:b w:val="0"/>
                <w:sz w:val="15"/>
              </w:rPr>
              <w:t>Reserva antecipada de fabrico, fornecedores alternativos pré-qualificados e compras até M4.</w:t>
            </w:r>
          </w:p>
        </w:tc>
      </w:tr>
    </w:tbl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10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PREÇO E CONDIÇÕES COMERCIAIS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Estrutura económica comparável e condições de pagamento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3"/>
        <w:gridCol w:w="2381"/>
      </w:tblGrid>
      <w:tr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Rubrica</w:t>
            </w:r>
          </w:p>
        </w:tc>
        <w:tc>
          <w:tcPr>
            <w:tcW w:type="dxa" w:w="5128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Preço indicativo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Engenharia, gestão de projeto e licenciamento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1 650 000 €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Construção civil da ETAR e arranjos exteriores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9 850 000 €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Equipamento de processo e eletromecânico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7 950 000 €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Instalações elétricas, automação e instrumentação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2 350 000 €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Linha de lamas, biogás, cogeração e desodorização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3 650 000 €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Emissário, câmaras, travessias e interligações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5 650 000 €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ApR, fotovoltaico, coberturas verdes e paisagismo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1 150 000 €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Comissionamento, testes e 12 meses de assistência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1 650 000 €</w:t>
            </w:r>
          </w:p>
        </w:tc>
      </w:tr>
      <w:tr>
        <w:tc>
          <w:tcPr>
            <w:tcW w:type="dxa" w:w="7483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Monitorização ambiental, H&amp;S e QA/QC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850 000 €</w:t>
            </w:r>
          </w:p>
        </w:tc>
      </w:tr>
      <w:tr>
        <w:tc>
          <w:tcPr>
            <w:tcW w:type="dxa" w:w="7483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Provisões de risco e contingências identificadas</w:t>
            </w:r>
          </w:p>
        </w:tc>
        <w:tc>
          <w:tcPr>
            <w:tcW w:type="dxa" w:w="2381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sz w:val="16"/>
              </w:rPr>
              <w:t>1 100 000 €</w:t>
            </w:r>
          </w:p>
        </w:tc>
      </w:tr>
      <w:tr>
        <w:tc>
          <w:tcPr>
            <w:tcW w:type="dxa" w:w="7483"/>
            <w:shd w:fill="0B6E75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8"/>
              </w:rPr>
              <w:t>TOTAL PROPOSTO (sem IVA)</w:t>
            </w:r>
          </w:p>
        </w:tc>
        <w:tc>
          <w:tcPr>
            <w:tcW w:type="dxa" w:w="2381"/>
            <w:shd w:fill="0B6E75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right"/>
            </w:pPr>
            <w:r>
              <w:rPr>
                <w:rFonts w:ascii="Carlito" w:hAnsi="Carlito"/>
                <w:b/>
                <w:color w:val="FFFFFF"/>
                <w:sz w:val="18"/>
              </w:rPr>
              <w:t>35 850 000 €</w:t>
            </w:r>
          </w:p>
        </w:tc>
      </w:tr>
    </w:tbl>
    <w:p>
      <w:pPr>
        <w:pStyle w:val="Heading2"/>
      </w:pPr>
      <w:r>
        <w:t>Condições comerciais propostas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Preço global indicativo: 35 800 000 € + IVA, sujeito a clarificação final de fronteiras contratuais e confirmação das quantidades do projeto de execução.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Pagamentos: 10% adiantamento contra garantia; 10% após aprovação da engenharia principal; 55% por autos mensais; 10% na conclusão mecânica; 10% após testes de desempenho; 5% na receção provisória.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Garantia de boa execução: 10% do preço contratual. Retenção de 5% substituível por garantia bancária equivalente.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Penalidade de atraso proposta: 0,05% do preço contratual por dia de atraso imputável ao fornecedor, limitada a 7,5%.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Garantia de desempenho: cumprimento dos VLE e capacidade hidráulica/processual dentro do envelope de afluente contratual. Falhas de desempenho dão lugar a plano de correção e repetição de testes; responsabilidade agregada sujeita às condições finais do contrato.</w:t>
      </w:r>
    </w:p>
    <w:p>
      <w:pPr>
        <w:pStyle w:val="ListBullet"/>
        <w:spacing w:after="40" w:line="247" w:lineRule="auto"/>
      </w:pPr>
      <w:r>
        <w:rPr>
          <w:rFonts w:ascii="Carlito" w:hAnsi="Carlito"/>
          <w:sz w:val="18"/>
        </w:rPr>
        <w:t>Validade comercial: 90 dias. Após esse período, equipamentos de importação, aço, cobre e energia poderão ser objeto de atualização por índices acordados.</w:t>
      </w:r>
    </w:p>
    <w:p>
      <w:pPr>
        <w:pStyle w:val="Heading2"/>
      </w:pPr>
      <w:r>
        <w:t>Notas sobre o preço</w:t>
      </w:r>
    </w:p>
    <w:p>
      <w:pPr>
        <w:jc w:val="both"/>
      </w:pPr>
      <w:r>
        <w:rPr>
          <w:rFonts w:ascii="Carlito" w:hAnsi="Carlito"/>
          <w:sz w:val="18"/>
        </w:rPr>
        <w:t>O preço inclui um nível de contingência superior e mais atividades de mitigação de risco. A intenção é reduzir a probabilidade de trabalhos a mais previsíveis durante a execução. A provisão de risco não é uma reserva livre do Dono de Obra: a sua utilização deve ser justificada por ocorrência documentada e tratada segundo o mecanismo contratual acordado.</w:t>
      </w:r>
    </w:p>
    <w:p>
      <w:r>
        <w:br w:type="page"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737"/>
        <w:gridCol w:w="9128"/>
      </w:tblGrid>
      <w:tr>
        <w:tc>
          <w:tcPr>
            <w:tcW w:type="dxa" w:w="5128"/>
            <w:shd w:fill="0B6E7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FFFFFF"/>
                <w:sz w:val="30"/>
              </w:rPr>
              <w:t>11</w:t>
            </w:r>
          </w:p>
        </w:tc>
        <w:tc>
          <w:tcPr>
            <w:tcW w:type="dxa" w:w="5128"/>
            <w:shd w:fill="E8F4F4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rlito" w:hAnsi="Carlito"/>
                <w:b/>
                <w:color w:val="17424A"/>
                <w:sz w:val="27"/>
              </w:rPr>
              <w:t>MATRIZ DE CONFORMIDADE, VALIDADE E FECHO</w:t>
            </w:r>
          </w:p>
          <w:p>
            <w:r>
              <w:rPr>
                <w:rFonts w:ascii="Carlito" w:hAnsi="Carlito"/>
                <w:color w:val="555555"/>
                <w:sz w:val="17"/>
              </w:rPr>
              <w:t>Resumo final para avaliação comparativa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48"/>
        <w:gridCol w:w="3005"/>
        <w:gridCol w:w="3912"/>
      </w:tblGrid>
      <w:tr>
        <w:trPr>
          <w:tblHeader w:val="true"/>
        </w:trPr>
        <w:tc>
          <w:tcPr>
            <w:tcW w:type="dxa" w:w="3419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Tema</w:t>
            </w:r>
          </w:p>
        </w:tc>
        <w:tc>
          <w:tcPr>
            <w:tcW w:type="dxa" w:w="3419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Compromisso</w:t>
            </w:r>
          </w:p>
        </w:tc>
        <w:tc>
          <w:tcPr>
            <w:tcW w:type="dxa" w:w="3419"/>
            <w:shd w:fill="17424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b/>
                <w:color w:val="FFFFFF"/>
                <w:sz w:val="16"/>
              </w:rPr>
              <w:t>Observação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Caudal tempo seco / húmido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Incluído e verificado com margem operacional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Modelação dinâmica e verificação de transientes selecionados</w:t>
            </w:r>
          </w:p>
        </w:tc>
      </w:tr>
      <w:tr>
        <w:tc>
          <w:tcPr>
            <w:tcW w:type="dxa" w:w="2948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Remoção N/P</w:t>
            </w:r>
          </w:p>
        </w:tc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Incluída com metas internas abaixo dos VLE</w:t>
            </w:r>
          </w:p>
        </w:tc>
        <w:tc>
          <w:tcPr>
            <w:tcW w:type="dxa" w:w="3912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Instrumentação online e estratégia de dosagem adaptativa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Desinfeção UV / ApR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Incluída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Preparação hidráulica e monitorização para usos internos/futuros</w:t>
            </w:r>
          </w:p>
        </w:tc>
      </w:tr>
      <w:tr>
        <w:tc>
          <w:tcPr>
            <w:tcW w:type="dxa" w:w="2948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Linha de lamas e biogás</w:t>
            </w:r>
          </w:p>
        </w:tc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Incluída</w:t>
            </w:r>
          </w:p>
        </w:tc>
        <w:tc>
          <w:tcPr>
            <w:tcW w:type="dxa" w:w="3912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HAZOP, ATEX aplicável, cogeração e flare de segurança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Emissário ~3,74 km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Incluído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Investigação complementar e contingência de interfaces</w:t>
            </w:r>
          </w:p>
        </w:tc>
      </w:tr>
      <w:tr>
        <w:tc>
          <w:tcPr>
            <w:tcW w:type="dxa" w:w="2948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Monitorização ambiental</w:t>
            </w:r>
          </w:p>
        </w:tc>
        <w:tc>
          <w:tcPr>
            <w:tcW w:type="dxa" w:w="3005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Reforçada</w:t>
            </w:r>
          </w:p>
        </w:tc>
        <w:tc>
          <w:tcPr>
            <w:tcW w:type="dxa" w:w="3912"/>
            <w:shd w:fill="F6F8F9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Água, ruído, odores, energia, lamas e reporting anual</w:t>
            </w:r>
          </w:p>
        </w:tc>
      </w:tr>
      <w:tr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Apoio pós-arranque</w:t>
            </w:r>
          </w:p>
        </w:tc>
        <w:tc>
          <w:tcPr>
            <w:tcW w:type="dxa" w:w="300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12 meses</w:t>
            </w:r>
          </w:p>
        </w:tc>
        <w:tc>
          <w:tcPr>
            <w:tcW w:type="dxa" w:w="3912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rlito" w:hAnsi="Carlito"/>
                <w:sz w:val="16"/>
              </w:rPr>
              <w:t>Otimização de processo e energia</w:t>
            </w:r>
          </w:p>
        </w:tc>
      </w:tr>
    </w:tbl>
    <w:p>
      <w:pPr>
        <w:pStyle w:val="Heading2"/>
      </w:pPr>
      <w:r>
        <w:t>Validade e condições de utilização</w:t>
      </w:r>
    </w:p>
    <w:p>
      <w:pPr>
        <w:jc w:val="both"/>
      </w:pPr>
      <w:r>
        <w:rPr>
          <w:rFonts w:ascii="Carlito" w:hAnsi="Carlito"/>
          <w:sz w:val="18"/>
        </w:rPr>
        <w:t>A proposta mantém-se válida por 90 dias a contar de 25 de agosto de 2026. A adjudicação real estaria sujeita a clarificação técnica, confirmação do estado do licenciamento, revisão das quantidades, visita ao local, validação de interfaces e assinatura de contrato. A garantia indicada é de 24 meses para equipamentos e trabalhos, acrescidos de assistência de processo por 12 meses após receção provisória.</w:t>
      </w:r>
    </w:p>
    <w:p>
      <w:pPr>
        <w:pStyle w:val="Heading2"/>
      </w:pPr>
      <w:r>
        <w:t>Declaração de natureza fictícia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FF1F0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pPr>
              <w:jc w:val="center"/>
            </w:pPr>
            <w:r>
              <w:rPr>
                <w:rFonts w:ascii="Carlito" w:hAnsi="Carlito"/>
                <w:b/>
                <w:color w:val="B3261E"/>
                <w:sz w:val="22"/>
              </w:rPr>
              <w:t>PROPOSTA FICTÍCIA GERADA PARA TESTES — NÃO FORNECIDA PELA SIMBIENTE</w:t>
            </w:r>
          </w:p>
        </w:tc>
      </w:tr>
    </w:tbl>
    <w:p>
      <w:pPr>
        <w:spacing w:before="240"/>
      </w:pPr>
      <w:r>
        <w:rPr>
          <w:rFonts w:ascii="Carlito" w:hAnsi="Carlito"/>
          <w:b/>
          <w:color w:val="17424A"/>
          <w:sz w:val="18"/>
        </w:rPr>
        <w:t>Pela equipa comercial fictícia de EcoAqua Engenharia Integrada, Lda.</w:t>
      </w:r>
    </w:p>
    <w:p>
      <w:pPr>
        <w:pStyle w:val="SmallNote"/>
      </w:pPr>
      <w:r>
        <w:rPr>
          <w:rFonts w:ascii="Carlito" w:hAnsi="Carlito"/>
          <w:color w:val="555555"/>
          <w:sz w:val="16"/>
        </w:rPr>
        <w:t>propostas@ecoaqua-teste.example | +351 210 000 101 (fictício)</w:t>
      </w:r>
    </w:p>
    <w:p>
      <w:pPr>
        <w:pStyle w:val="SmallNote"/>
      </w:pPr>
      <w:r>
        <w:rPr>
          <w:rFonts w:ascii="Carlito" w:hAnsi="Carlito"/>
          <w:i/>
          <w:color w:val="666666"/>
          <w:sz w:val="16"/>
        </w:rPr>
        <w:t>Documento criado exclusivamente para testes de sistemas de IA, comparação de propostas e revisão de fluxos documentais.</w:t>
      </w:r>
    </w:p>
    <w:sectPr>
      <w:headerReference w:type="default" r:id="rId9"/>
      <w:footerReference w:type="default" r:id="rId10"/>
      <w:pgSz w:w="12240" w:h="15840"/>
      <w:pgMar w:top="879" w:right="992" w:bottom="879" w:left="992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8334"/>
      <w:gridCol w:w="1587"/>
    </w:tblGrid>
    <w:tr>
      <w:tc>
        <w:tcPr>
          <w:tcW w:type="dxa" w:w="8334"/>
          <w:tcMar>
            <w:top w:w="40" w:type="dxa"/>
            <w:start w:w="60" w:type="dxa"/>
            <w:bottom w:w="40" w:type="dxa"/>
            <w:end w:w="60" w:type="dxa"/>
          </w:tcMar>
          <w:tcBorders>
            <w:top w:val="single" w:sz="6" w:color="0B6E75"/>
          </w:tcBorders>
        </w:tcPr>
        <w:p>
          <w:pPr>
            <w:jc w:val="left"/>
          </w:pPr>
          <w:r>
            <w:rPr>
              <w:rFonts w:ascii="Carlito" w:hAnsi="Carlito"/>
              <w:b/>
              <w:color w:val="B3261E"/>
              <w:sz w:val="14"/>
            </w:rPr>
            <w:t>PROPOSTA FICTÍCIA GERADA PARA TESTES — NÃO FORNECIDA PELA SIMBIENTE</w:t>
          </w:r>
        </w:p>
      </w:tc>
      <w:tc>
        <w:tcPr>
          <w:tcW w:type="dxa" w:w="1587"/>
          <w:tcMar>
            <w:top w:w="40" w:type="dxa"/>
            <w:start w:w="60" w:type="dxa"/>
            <w:bottom w:w="40" w:type="dxa"/>
            <w:end w:w="60" w:type="dxa"/>
          </w:tcMar>
          <w:tcBorders>
            <w:top w:val="single" w:sz="6" w:color="0B6E75"/>
          </w:tcBorders>
        </w:tcPr>
        <w:p>
          <w:pPr>
            <w:jc w:val="right"/>
          </w:pPr>
          <w:r>
            <w:rPr>
              <w:rFonts w:ascii="Carlito" w:hAnsi="Carlito"/>
              <w:color w:val="666666"/>
              <w:sz w:val="16"/>
            </w:rPr>
            <w:t xml:space="preserve">Página </w:t>
          </w:r>
          <w:r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6236"/>
      <w:gridCol w:w="3685"/>
    </w:tblGrid>
    <w:tr>
      <w:tc>
        <w:tcPr>
          <w:tcW w:type="dxa" w:w="4961"/>
          <w:tcMar>
            <w:top w:w="40" w:type="dxa"/>
            <w:start w:w="60" w:type="dxa"/>
            <w:bottom w:w="40" w:type="dxa"/>
            <w:end w:w="60" w:type="dxa"/>
          </w:tcMar>
        </w:tcPr>
        <w:p>
          <w:r>
            <w:rPr>
              <w:rFonts w:ascii="Carlito" w:hAnsi="Carlito"/>
              <w:b/>
              <w:color w:val="17424A"/>
              <w:sz w:val="16"/>
            </w:rPr>
            <w:t>ECOAQUA</w:t>
          </w:r>
        </w:p>
      </w:tc>
      <w:tc>
        <w:tcPr>
          <w:tcW w:type="dxa" w:w="4961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right"/>
          </w:pPr>
          <w:r>
            <w:rPr>
              <w:rFonts w:ascii="Carlito" w:hAnsi="Carlito"/>
              <w:color w:val="666666"/>
              <w:sz w:val="15"/>
            </w:rPr>
            <w:t>ETAR DO ESTE — PROPOSTA TÉCNICO-COMERCIAL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57" w:lineRule="auto"/>
      <w:jc w:val="both"/>
    </w:pPr>
    <w:rPr>
      <w:rFonts w:ascii="Carlito" w:hAnsi="Carlito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40"/>
      <w:outlineLvl w:val="0"/>
    </w:pPr>
    <w:rPr>
      <w:rFonts w:asciiTheme="majorHAnsi" w:eastAsiaTheme="majorEastAsia" w:hAnsiTheme="majorHAnsi" w:cstheme="majorBidi" w:ascii="Carlito" w:hAnsi="Carlito"/>
      <w:b/>
      <w:bCs/>
      <w:color w:val="1742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rlito" w:hAnsi="Carlito"/>
      <w:b/>
      <w:bCs/>
      <w:color w:val="0B6E7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rlito" w:hAnsi="Carlito"/>
      <w:b/>
      <w:bCs/>
      <w:color w:val="17424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rlito" w:hAnsi="Carlito"/>
      <w:b/>
      <w:color w:val="1742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0" w:lineRule="auto"/>
    </w:pPr>
    <w:rPr>
      <w:rFonts w:ascii="Carlito" w:hAnsi="Carlito"/>
      <w:color w:val="5A5A5A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Técnico-Comercial Fictícia — ETAR do Este — EcoAqua</dc:title>
  <dc:subject>Documento fictício para testes de IA</dc:subject>
  <dc:creator/>
  <cp:keywords>ETAR Este; proposta fictícia; testes IA; águas residuais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